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088" w:rsidRDefault="007B7088">
      <w:pPr>
        <w:rPr>
          <w:rFonts w:cstheme="minorHAnsi"/>
        </w:rPr>
      </w:pPr>
    </w:p>
    <w:p w:rsidR="00DF5137" w:rsidRPr="00DF5137" w:rsidRDefault="00DF5137" w:rsidP="00DF5137">
      <w:pPr>
        <w:spacing w:before="60" w:after="60" w:line="240" w:lineRule="auto"/>
        <w:jc w:val="both"/>
        <w:rPr>
          <w:rFonts w:cstheme="minorHAnsi"/>
        </w:rPr>
      </w:pPr>
      <w:r w:rsidRPr="00DF5137">
        <w:rPr>
          <w:rFonts w:cstheme="minorHAnsi"/>
        </w:rPr>
        <w:t>Στο πλαίσιο της ένταξης έργων στα Επιχειρησιακά Προγράμματα του ΕΣΠΑ 2014-2020, η έκθεση τεκμηρίωσης ΥΓΟΣ υποβάλλεται με στόχο να καλυφθούν οι απαιτήσεις που καθορίζει το νομικό πλαίσιο της Ευρωπαϊκής Ένωσης περί Υπηρεσιών Γενικού Οικονομικού Συμφέροντος (ΥΓΟΣ). Το παρόν έγγραφο αποτελεί συνοπτικό οδηγό σύνταξης της έκθεσης που πρέπει να υποβληθεί προκειμένου να πληρούνται οι διατάξεις της Απόφασης της 20ης Δεκεμβρίου 2011 για την εφαρμογή του άρθρου 106 παράγραφος 2 τη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rsidR="00DF5137" w:rsidRPr="00DF5137" w:rsidRDefault="00DF5137" w:rsidP="00DF5137">
      <w:pPr>
        <w:spacing w:before="60" w:after="60" w:line="240" w:lineRule="auto"/>
        <w:jc w:val="both"/>
        <w:rPr>
          <w:rFonts w:cstheme="minorHAnsi"/>
        </w:rPr>
      </w:pPr>
      <w:r w:rsidRPr="00DF5137">
        <w:rPr>
          <w:rFonts w:cstheme="minorHAnsi"/>
        </w:rPr>
        <w:t>Για να καλυφθούν οι προϋποθέσεις που καθορίζει η ανωτέρω αναφερόμενη απόφαση, προκειμένου η κρατική ενίσχυση που χορηγείται υπό μορφή αντιστάθμισης για παροχή δημόσιας υπηρεσίας να συμβιβάζεται με την εσωτερική αγορά και να απαλλάσσεται από την υποχρέωση προηγούμενης κοινοποίησης, κατά την ανάθεση της υπηρεσίας το Κράτος Μέλος οφείλει να καθορίσει κατ’ ελάχιστον και με σαφήνεια τα εξής:</w:t>
      </w:r>
    </w:p>
    <w:p w:rsidR="00DF5137" w:rsidRPr="007B7088" w:rsidRDefault="00DF5137" w:rsidP="007B7088">
      <w:pPr>
        <w:pStyle w:val="a3"/>
        <w:numPr>
          <w:ilvl w:val="0"/>
          <w:numId w:val="11"/>
        </w:numPr>
        <w:spacing w:before="60" w:after="60" w:line="240" w:lineRule="auto"/>
        <w:ind w:left="397" w:hanging="397"/>
        <w:jc w:val="both"/>
        <w:rPr>
          <w:rFonts w:cstheme="minorHAnsi"/>
        </w:rPr>
      </w:pPr>
      <w:r w:rsidRPr="007B7088">
        <w:rPr>
          <w:rFonts w:cstheme="minorHAnsi"/>
        </w:rPr>
        <w:t xml:space="preserve">Τον χαρακτηρισμό της παρεχόμενης υπηρεσίας ως ΥΓΟΣ. Ο ορισμός της παρεχόμενης δημόσιας υπηρεσίας ελέγχεται από την Επιτροπή και το ΔΕΚ για «πρόδηλο σφάλμα». Το κράτος μέλος υποχρεούται να παραθέτει τους λόγους για τους οποίους θεωρεί ότι η συγκεκριμένη υπηρεσία μπορεί, λόγω των ιδιαίτερων χαρακτηριστικών της, να συνιστά ΥΓΟΣ, καθώς, χωρίς τέτοια αιτιολόγηση, θα ήταν αδύνατο να ελέγξουν τα </w:t>
      </w:r>
      <w:proofErr w:type="spellStart"/>
      <w:r w:rsidRPr="007B7088">
        <w:rPr>
          <w:rFonts w:cstheme="minorHAnsi"/>
        </w:rPr>
        <w:t>ενωσιακά</w:t>
      </w:r>
      <w:proofErr w:type="spellEnd"/>
      <w:r w:rsidRPr="007B7088">
        <w:rPr>
          <w:rFonts w:cstheme="minorHAnsi"/>
        </w:rPr>
        <w:t xml:space="preserve"> όργανα αν το κράτος μέλος έχει υποπέσει σε πρόδηλο σφάλμα κατά την άσκηση της εξουσίας εκτιμήσεως.</w:t>
      </w:r>
    </w:p>
    <w:p w:rsidR="00DF5137" w:rsidRPr="007B7088" w:rsidRDefault="00DF5137" w:rsidP="007B7088">
      <w:pPr>
        <w:pStyle w:val="a3"/>
        <w:numPr>
          <w:ilvl w:val="0"/>
          <w:numId w:val="11"/>
        </w:numPr>
        <w:spacing w:before="60" w:after="60" w:line="240" w:lineRule="auto"/>
        <w:ind w:left="397" w:hanging="397"/>
        <w:jc w:val="both"/>
        <w:rPr>
          <w:rFonts w:cstheme="minorHAnsi"/>
        </w:rPr>
      </w:pPr>
      <w:r w:rsidRPr="007B7088">
        <w:rPr>
          <w:rFonts w:cstheme="minorHAnsi"/>
        </w:rPr>
        <w:t>Την πράξη ή τις πράξεις ανάθεσης (</w:t>
      </w:r>
      <w:proofErr w:type="spellStart"/>
      <w:r w:rsidRPr="007B7088">
        <w:rPr>
          <w:rFonts w:cstheme="minorHAnsi"/>
        </w:rPr>
        <w:t>Act</w:t>
      </w:r>
      <w:proofErr w:type="spellEnd"/>
      <w:r w:rsidRPr="007B7088">
        <w:rPr>
          <w:rFonts w:cstheme="minorHAnsi"/>
        </w:rPr>
        <w:t xml:space="preserve"> </w:t>
      </w:r>
      <w:proofErr w:type="spellStart"/>
      <w:r w:rsidRPr="007B7088">
        <w:rPr>
          <w:rFonts w:cstheme="minorHAnsi"/>
        </w:rPr>
        <w:t>of</w:t>
      </w:r>
      <w:proofErr w:type="spellEnd"/>
      <w:r w:rsidRPr="007B7088">
        <w:rPr>
          <w:rFonts w:cstheme="minorHAnsi"/>
        </w:rPr>
        <w:t xml:space="preserve"> </w:t>
      </w:r>
      <w:proofErr w:type="spellStart"/>
      <w:r w:rsidRPr="007B7088">
        <w:rPr>
          <w:rFonts w:cstheme="minorHAnsi"/>
        </w:rPr>
        <w:t>Entrustment</w:t>
      </w:r>
      <w:proofErr w:type="spellEnd"/>
      <w:r w:rsidRPr="007B7088">
        <w:rPr>
          <w:rFonts w:cstheme="minorHAnsi"/>
        </w:rPr>
        <w:t>) δια των οποίων να προσδιορίζονται τουλάχιστον τα ακόλουθα:</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το περιεχόμενο (με αναλυτική περιγραφή της παρεχόμενης δημόσιας υπηρεσίας) και η διάρκεια των υποχρεώσεων παροχής δημόσιας υπηρεσίας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η επιχείρηση που επιφορτίζεται με την παροχή ΥΓΟΣ και, κατά περίπτωση, η σχετική περιοχή κάλυψης των υπηρεσιών ΥΓΟΣ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η φύση ενδεχόμενων αποκλειστικών ή ειδικών δικαιωμάτων που παραχωρούνται στην επιχείρηση ανάληψης της ΥΓΟΣ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οι παράμετροι για τον υπολογισμό, τον έλεγχο και την αναθεώρηση της αντιστάθμισης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 xml:space="preserve">οι ρυθμίσεις για την αποφυγή και την ανάκτηση ενδεχόμενης </w:t>
      </w:r>
      <w:proofErr w:type="spellStart"/>
      <w:r w:rsidRPr="007B7088">
        <w:rPr>
          <w:rFonts w:cstheme="minorHAnsi"/>
        </w:rPr>
        <w:t>υπεραντιστάθμισης</w:t>
      </w:r>
      <w:proofErr w:type="spellEnd"/>
      <w:r w:rsidRPr="007B7088">
        <w:rPr>
          <w:rFonts w:cstheme="minorHAnsi"/>
        </w:rPr>
        <w:t>.</w:t>
      </w:r>
    </w:p>
    <w:p w:rsidR="00DF5137" w:rsidRPr="00DF5137" w:rsidRDefault="00DF5137" w:rsidP="007B7088">
      <w:pPr>
        <w:pStyle w:val="a3"/>
        <w:numPr>
          <w:ilvl w:val="0"/>
          <w:numId w:val="11"/>
        </w:numPr>
        <w:spacing w:before="60" w:after="60" w:line="240" w:lineRule="auto"/>
        <w:ind w:left="397" w:hanging="397"/>
        <w:jc w:val="both"/>
        <w:rPr>
          <w:rFonts w:cstheme="minorHAnsi"/>
        </w:rPr>
      </w:pPr>
      <w:r w:rsidRPr="00DF5137">
        <w:rPr>
          <w:rFonts w:cstheme="minorHAnsi"/>
        </w:rPr>
        <w:t>Τις παραμέτρους που χρησιμεύουν ως βάση για τον υπολογισμό της αντιστάθμισης, οι οποίες πρέπει να καθορίζονται εκ των προτέρων με αντικειμενικό και διαφανή τρόπο. Πιο συγκεκριμένα, πρέπει εξ αρχής να αποσαφηνιστεί πώς θα καθοριστεί η αντιστάθμιση. Εφόσον παρέχεται στην επιχείρηση εύλογο κέρδος ως μέρος της αντιστάθμισης, η πράξη ανάθεσης πρέπει επίσης να καθορίζει τα κριτήρια για τον υπολογισμό του εν λόγω κέρδους. Τέλος, σε περίπτωση που προβλέπεται αναθεώρηση του ποσού της αντιστάθμισης κατά τη διάρκεια της περιόδου ανάθεσης, η πράξη ανάθεσης πρέπει να προσδιορίζει τις ρυθμίσεις για την αναθεώρηση και κάθε πιθανή επίπτωση που ενδέχεται να έχει στο συνολικό ποσό της αντιστάθμισης.</w:t>
      </w:r>
    </w:p>
    <w:p w:rsidR="00DF5137" w:rsidRPr="00DF5137" w:rsidRDefault="00DF5137" w:rsidP="007B7088">
      <w:pPr>
        <w:pStyle w:val="a3"/>
        <w:numPr>
          <w:ilvl w:val="0"/>
          <w:numId w:val="11"/>
        </w:numPr>
        <w:spacing w:before="60" w:after="60" w:line="240" w:lineRule="auto"/>
        <w:ind w:left="397" w:hanging="397"/>
        <w:jc w:val="both"/>
        <w:rPr>
          <w:rFonts w:cstheme="minorHAnsi"/>
        </w:rPr>
      </w:pPr>
      <w:r w:rsidRPr="00DF5137">
        <w:rPr>
          <w:rFonts w:cstheme="minorHAnsi"/>
        </w:rPr>
        <w:t xml:space="preserve">Τον μηχανισμό αποφυγής </w:t>
      </w:r>
      <w:proofErr w:type="spellStart"/>
      <w:r w:rsidRPr="00DF5137">
        <w:rPr>
          <w:rFonts w:cstheme="minorHAnsi"/>
        </w:rPr>
        <w:t>υπεραντιστάθμισης</w:t>
      </w:r>
      <w:proofErr w:type="spellEnd"/>
      <w:r w:rsidRPr="00DF5137">
        <w:rPr>
          <w:rFonts w:cstheme="minorHAnsi"/>
        </w:rPr>
        <w:t>, δεδομένου ότι η αντιστάθμιση δεν πρέπει να υπερβαίνει το ποσό που είναι αναγκαίο για την κάλυψη όλων ή μέρους των δαπανών που προκύπτουν από την εκπλήρωση των υποχρεώσεων δημόσιας υπηρεσίας, λαμβανομένων υπόψη των σχετικών εσόδων καθώς και ενός ευλόγου κέρδους.</w:t>
      </w:r>
    </w:p>
    <w:p w:rsidR="00DF5137" w:rsidRPr="00283110" w:rsidRDefault="00DF5137" w:rsidP="00DF5137">
      <w:pPr>
        <w:spacing w:before="60" w:after="60" w:line="240" w:lineRule="auto"/>
        <w:jc w:val="both"/>
        <w:rPr>
          <w:rFonts w:cstheme="minorHAnsi"/>
        </w:rPr>
      </w:pPr>
    </w:p>
    <w:p w:rsidR="007B7088" w:rsidRPr="00283110" w:rsidRDefault="007B7088" w:rsidP="00DF5137">
      <w:pPr>
        <w:spacing w:before="60" w:after="60" w:line="240" w:lineRule="auto"/>
        <w:jc w:val="both"/>
        <w:rPr>
          <w:rFonts w:cstheme="minorHAnsi"/>
        </w:rPr>
      </w:pPr>
      <w:bookmarkStart w:id="0" w:name="_GoBack"/>
      <w:bookmarkEnd w:id="0"/>
    </w:p>
    <w:sectPr w:rsidR="007B7088" w:rsidRPr="00283110">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3E" w:rsidRDefault="00BE483E" w:rsidP="00BE483E">
      <w:pPr>
        <w:spacing w:after="0" w:line="240" w:lineRule="auto"/>
      </w:pPr>
      <w:r>
        <w:separator/>
      </w:r>
    </w:p>
  </w:endnote>
  <w:endnote w:type="continuationSeparator" w:id="0">
    <w:p w:rsidR="00BE483E" w:rsidRDefault="00BE483E"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283110" w:rsidRPr="00283110">
      <w:rPr>
        <w:rFonts w:eastAsiaTheme="majorEastAsia" w:cstheme="minorHAnsi"/>
        <w:i/>
        <w:noProof/>
        <w:sz w:val="20"/>
        <w:szCs w:val="20"/>
      </w:rPr>
      <w:t>1</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3E" w:rsidRDefault="00BE483E" w:rsidP="00BE483E">
      <w:pPr>
        <w:spacing w:after="0" w:line="240" w:lineRule="auto"/>
      </w:pPr>
      <w:r>
        <w:separator/>
      </w:r>
    </w:p>
  </w:footnote>
  <w:footnote w:type="continuationSeparator" w:id="0">
    <w:p w:rsidR="00BE483E" w:rsidRDefault="00BE483E"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BE483E" w:rsidP="00BE483E">
    <w:pPr>
      <w:pStyle w:val="a4"/>
      <w:jc w:val="center"/>
    </w:pPr>
    <w:r w:rsidRPr="00BE483E">
      <w:rPr>
        <w:b/>
        <w:bCs/>
      </w:rPr>
      <w:t>Έκθεση Τεκμηρίωσης ΥΓΟΣ - Οδηγίες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7"/>
  </w:num>
  <w:num w:numId="4">
    <w:abstractNumId w:val="4"/>
  </w:num>
  <w:num w:numId="5">
    <w:abstractNumId w:val="9"/>
  </w:num>
  <w:num w:numId="6">
    <w:abstractNumId w:val="10"/>
  </w:num>
  <w:num w:numId="7">
    <w:abstractNumId w:val="6"/>
  </w:num>
  <w:num w:numId="8">
    <w:abstractNumId w:val="3"/>
  </w:num>
  <w:num w:numId="9">
    <w:abstractNumId w:val="2"/>
  </w:num>
  <w:num w:numId="10">
    <w:abstractNumId w:val="8"/>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212216"/>
    <w:rsid w:val="00283110"/>
    <w:rsid w:val="007B7088"/>
    <w:rsid w:val="009A0B55"/>
    <w:rsid w:val="00AA2090"/>
    <w:rsid w:val="00BE483E"/>
    <w:rsid w:val="00DF5137"/>
    <w:rsid w:val="00F762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508</Words>
  <Characters>2745</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ΧΑΤΖΗΙΩΑΝΝΟΥ ΤΡΥΦΩΝΑΣ</cp:lastModifiedBy>
  <cp:revision>2</cp:revision>
  <dcterms:created xsi:type="dcterms:W3CDTF">2017-04-27T07:44:00Z</dcterms:created>
  <dcterms:modified xsi:type="dcterms:W3CDTF">2017-05-26T11:20:00Z</dcterms:modified>
</cp:coreProperties>
</file>