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73" w:rsidRDefault="002A7073" w:rsidP="002A707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r>
        <w:rPr>
          <w:rFonts w:ascii="Tahoma" w:hAnsi="Tahoma" w:cs="Tahoma"/>
          <w:b/>
          <w:bCs/>
          <w:color w:val="000000"/>
          <w:sz w:val="18"/>
          <w:szCs w:val="18"/>
        </w:rPr>
        <w:t xml:space="preserve">ΠΑΡΑΡΤΗΜΑ Ι: ΥΠΟΧΡΕΩΣΕΙΣ ΔΙΚΑΙΟΥΧΩΝ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2A7073" w:rsidRPr="0064144C" w:rsidRDefault="002A7073" w:rsidP="002A7073">
      <w:pPr>
        <w:widowControl w:val="0"/>
        <w:numPr>
          <w:ilvl w:val="0"/>
          <w:numId w:val="9"/>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2A7073" w:rsidRPr="00036460"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A7073" w:rsidRPr="0028289C" w:rsidRDefault="002A7073" w:rsidP="002A7073">
      <w:pPr>
        <w:widowControl w:val="0"/>
        <w:tabs>
          <w:tab w:val="left" w:pos="993"/>
        </w:tabs>
        <w:autoSpaceDE w:val="0"/>
        <w:autoSpaceDN w:val="0"/>
        <w:adjustRightInd w:val="0"/>
        <w:spacing w:before="120" w:after="120" w:line="260" w:lineRule="atLeast"/>
        <w:ind w:left="993" w:right="113"/>
        <w:jc w:val="both"/>
        <w:rPr>
          <w:rFonts w:ascii="Tahoma" w:hAnsi="Tahoma" w:cs="Tahoma"/>
          <w:color w:val="000000"/>
          <w:sz w:val="18"/>
          <w:szCs w:val="18"/>
        </w:rPr>
      </w:pPr>
      <w:r w:rsidRPr="0028289C">
        <w:rPr>
          <w:rFonts w:ascii="Tahoma" w:hAnsi="Tahoma" w:cs="Tahoma"/>
          <w:color w:val="000000"/>
          <w:sz w:val="18"/>
          <w:szCs w:val="18"/>
        </w:rPr>
        <w:t xml:space="preserve">Η ανάληψη της κύριας νομικής δέσμευσης δεν μπορεί να υπερβαίνει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28289C">
        <w:rPr>
          <w:rFonts w:ascii="Tahoma" w:hAnsi="Tahoma" w:cs="Tahoma"/>
          <w:i/>
          <w:iCs/>
          <w:color w:val="000000"/>
          <w:sz w:val="18"/>
          <w:szCs w:val="18"/>
        </w:rPr>
        <w:t>[παρ. 1, άρθρο 28, Ν. 4314/2014]</w:t>
      </w:r>
      <w:r w:rsidRPr="0028289C">
        <w:rPr>
          <w:rFonts w:ascii="Tahoma" w:hAnsi="Tahoma" w:cs="Tahoma"/>
          <w:b/>
          <w:bCs/>
          <w:i/>
          <w:iCs/>
          <w:color w:val="000000"/>
          <w:sz w:val="18"/>
          <w:szCs w:val="18"/>
        </w:rPr>
        <w:t>.</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w:t>
      </w:r>
      <w:r>
        <w:rPr>
          <w:rFonts w:ascii="Tahoma" w:hAnsi="Tahoma" w:cs="Tahoma"/>
          <w:color w:val="000000"/>
          <w:sz w:val="18"/>
          <w:szCs w:val="18"/>
        </w:rPr>
        <w:lastRenderedPageBreak/>
        <w:t xml:space="preserve">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w:t>
      </w:r>
      <w:proofErr w:type="spellStart"/>
      <w:r>
        <w:rPr>
          <w:rFonts w:ascii="Tahoma" w:hAnsi="Tahoma" w:cs="Tahoma"/>
          <w:color w:val="000000"/>
          <w:sz w:val="18"/>
          <w:szCs w:val="18"/>
        </w:rPr>
        <w:t>κ.ά</w:t>
      </w:r>
      <w:proofErr w:type="spellEnd"/>
      <w:r>
        <w:rPr>
          <w:rFonts w:ascii="Tahoma" w:hAnsi="Tahoma" w:cs="Tahoma"/>
          <w:color w:val="000000"/>
          <w:sz w:val="18"/>
          <w:szCs w:val="18"/>
        </w:rPr>
        <w:t xml:space="preserve">).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lastRenderedPageBreak/>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2A7073"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A7073" w:rsidRPr="005B7ECD"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A7073" w:rsidRPr="005B7ECD"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ΔΗΜΟΣΙΟΤΗΤΑ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8"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2A7073" w:rsidRDefault="002A7073" w:rsidP="002A7073">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lastRenderedPageBreak/>
        <w:t>στ)</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i/>
          <w:iCs/>
          <w:color w:val="000000"/>
          <w:sz w:val="18"/>
          <w:szCs w:val="18"/>
        </w:rPr>
      </w:pPr>
      <w:r>
        <w:rPr>
          <w:rFonts w:ascii="Tahoma" w:hAnsi="Tahoma" w:cs="Tahoma"/>
          <w:color w:val="000000"/>
          <w:sz w:val="18"/>
          <w:szCs w:val="18"/>
        </w:rPr>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καθορίζονται από το θεσμικό πλαίσιο που διέπει την πράξη</w:t>
      </w:r>
      <w:r>
        <w:rPr>
          <w:rFonts w:ascii="Tahoma" w:hAnsi="Tahoma" w:cs="Tahoma"/>
          <w:i/>
          <w:iCs/>
          <w:color w:val="000000"/>
          <w:sz w:val="18"/>
          <w:szCs w:val="18"/>
        </w:rPr>
        <w:t>.</w:t>
      </w:r>
    </w:p>
    <w:p w:rsidR="002A7073" w:rsidRDefault="002A7073" w:rsidP="002A7073">
      <w:pPr>
        <w:widowControl w:val="0"/>
        <w:autoSpaceDE w:val="0"/>
        <w:autoSpaceDN w:val="0"/>
        <w:adjustRightInd w:val="0"/>
        <w:spacing w:before="120" w:after="120" w:line="260" w:lineRule="atLeast"/>
        <w:ind w:left="823" w:right="129"/>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p>
    <w:p w:rsidR="002A7073" w:rsidRDefault="002A7073" w:rsidP="002A7073">
      <w:pPr>
        <w:widowControl w:val="0"/>
        <w:autoSpaceDE w:val="0"/>
        <w:autoSpaceDN w:val="0"/>
        <w:adjustRightInd w:val="0"/>
        <w:spacing w:before="120" w:after="120" w:line="260" w:lineRule="atLeast"/>
        <w:ind w:left="114" w:right="103"/>
        <w:rPr>
          <w:rFonts w:ascii="Tahoma" w:hAnsi="Tahoma" w:cs="Tahoma"/>
          <w:color w:val="000000"/>
          <w:sz w:val="18"/>
          <w:szCs w:val="18"/>
        </w:rPr>
      </w:pPr>
    </w:p>
    <w:p w:rsidR="00723958" w:rsidRDefault="00723958"/>
    <w:sectPr w:rsidR="00723958" w:rsidSect="00482FF6">
      <w:headerReference w:type="even" r:id="rId9"/>
      <w:headerReference w:type="default" r:id="rId10"/>
      <w:footerReference w:type="even" r:id="rId11"/>
      <w:footerReference w:type="default" r:id="rId12"/>
      <w:headerReference w:type="first" r:id="rId13"/>
      <w:footerReference w:type="first" r:id="rId14"/>
      <w:pgSz w:w="11900" w:h="16820"/>
      <w:pgMar w:top="567" w:right="843" w:bottom="1120" w:left="1020" w:header="426" w:footer="8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E689D">
      <w:pPr>
        <w:spacing w:after="0" w:line="240" w:lineRule="auto"/>
      </w:pPr>
      <w:r>
        <w:separator/>
      </w:r>
    </w:p>
  </w:endnote>
  <w:endnote w:type="continuationSeparator" w:id="0">
    <w:p w:rsidR="00000000" w:rsidRDefault="00CE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89D" w:rsidRDefault="00CE68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CE689D" w:rsidP="002F34B5">
    <w:pPr>
      <w:spacing w:after="0" w:line="240" w:lineRule="auto"/>
    </w:pPr>
  </w:p>
  <w:tbl>
    <w:tblPr>
      <w:tblW w:w="0" w:type="auto"/>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977097" w:rsidTr="001C4F15">
      <w:trPr>
        <w:trHeight w:val="1140"/>
      </w:trPr>
      <w:tc>
        <w:tcPr>
          <w:tcW w:w="2402" w:type="dxa"/>
          <w:tcBorders>
            <w:top w:val="single" w:sz="4" w:space="0" w:color="000000"/>
            <w:left w:val="nil"/>
            <w:bottom w:val="nil"/>
            <w:right w:val="nil"/>
          </w:tcBorders>
          <w:shd w:val="clear" w:color="auto" w:fill="FFFFFF"/>
        </w:tcPr>
        <w:p w:rsidR="00977097" w:rsidRDefault="002A7073">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4A68097" wp14:editId="029FC37A">
                <wp:extent cx="67627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977097" w:rsidRPr="00D2218F"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Ευρωπαϊκό Ταμείο</w:t>
          </w:r>
        </w:p>
        <w:p w:rsidR="00977097" w:rsidRPr="006F5ECC"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Περιφερειακής Ανάπτυξης</w:t>
          </w:r>
        </w:p>
        <w:p w:rsidR="00977097" w:rsidRDefault="00CE689D">
          <w:pPr>
            <w:widowControl w:val="0"/>
            <w:tabs>
              <w:tab w:val="left" w:pos="1953"/>
            </w:tabs>
            <w:autoSpaceDE w:val="0"/>
            <w:autoSpaceDN w:val="0"/>
            <w:adjustRightInd w:val="0"/>
            <w:spacing w:after="0" w:line="240" w:lineRule="auto"/>
            <w:rPr>
              <w:rFonts w:ascii="Tahoma" w:hAnsi="Tahoma" w:cs="Tahoma"/>
              <w:color w:val="000000"/>
              <w:sz w:val="14"/>
              <w:szCs w:val="14"/>
            </w:rPr>
          </w:pPr>
        </w:p>
      </w:tc>
      <w:tc>
        <w:tcPr>
          <w:tcW w:w="2054" w:type="dxa"/>
          <w:tcBorders>
            <w:top w:val="single" w:sz="4" w:space="0" w:color="000000"/>
            <w:left w:val="nil"/>
            <w:bottom w:val="nil"/>
            <w:right w:val="nil"/>
          </w:tcBorders>
          <w:shd w:val="clear" w:color="auto" w:fill="FFFFFF"/>
          <w:vAlign w:val="center"/>
        </w:tcPr>
        <w:p w:rsidR="00977097" w:rsidRDefault="00CE689D">
          <w:pPr>
            <w:widowControl w:val="0"/>
            <w:autoSpaceDE w:val="0"/>
            <w:autoSpaceDN w:val="0"/>
            <w:adjustRightInd w:val="0"/>
            <w:spacing w:after="0" w:line="240" w:lineRule="auto"/>
            <w:rPr>
              <w:rFonts w:ascii="Arial" w:hAnsi="Arial" w:cs="Arial"/>
              <w:sz w:val="24"/>
              <w:szCs w:val="24"/>
            </w:rPr>
          </w:pPr>
        </w:p>
      </w:tc>
      <w:tc>
        <w:tcPr>
          <w:tcW w:w="2481" w:type="dxa"/>
          <w:tcBorders>
            <w:top w:val="single" w:sz="4" w:space="0" w:color="000000"/>
            <w:left w:val="nil"/>
            <w:bottom w:val="nil"/>
            <w:right w:val="nil"/>
          </w:tcBorders>
          <w:shd w:val="clear" w:color="auto" w:fill="FFFFFF"/>
          <w:vAlign w:val="center"/>
        </w:tcPr>
        <w:p w:rsidR="00977097" w:rsidRDefault="00CE689D">
          <w:pPr>
            <w:widowControl w:val="0"/>
            <w:autoSpaceDE w:val="0"/>
            <w:autoSpaceDN w:val="0"/>
            <w:adjustRightInd w:val="0"/>
            <w:spacing w:after="0" w:line="240" w:lineRule="auto"/>
            <w:rPr>
              <w:rFonts w:ascii="Arial" w:hAnsi="Arial" w:cs="Arial"/>
              <w:sz w:val="24"/>
              <w:szCs w:val="24"/>
            </w:rPr>
          </w:pPr>
        </w:p>
      </w:tc>
      <w:tc>
        <w:tcPr>
          <w:tcW w:w="2622" w:type="dxa"/>
          <w:tcBorders>
            <w:top w:val="single" w:sz="4" w:space="0" w:color="000000"/>
            <w:left w:val="nil"/>
            <w:bottom w:val="nil"/>
            <w:right w:val="nil"/>
          </w:tcBorders>
          <w:shd w:val="clear" w:color="auto" w:fill="FFFFFF"/>
        </w:tcPr>
        <w:p w:rsidR="00977097" w:rsidRDefault="002A7073">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61ACFA6" wp14:editId="0D9CF338">
                <wp:extent cx="99060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bl>
  <w:p w:rsidR="00977097" w:rsidRDefault="00CE689D"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CE689D"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CE689D"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Pr="006B313D" w:rsidRDefault="002A7073" w:rsidP="00FF35B3">
    <w:pPr>
      <w:widowControl w:val="0"/>
      <w:tabs>
        <w:tab w:val="center" w:pos="4261"/>
        <w:tab w:val="right" w:pos="8414"/>
      </w:tabs>
      <w:autoSpaceDE w:val="0"/>
      <w:autoSpaceDN w:val="0"/>
      <w:adjustRightInd w:val="0"/>
      <w:spacing w:after="0" w:line="120" w:lineRule="auto"/>
      <w:ind w:left="114" w:right="103"/>
      <w:rPr>
        <w:rFonts w:ascii="Verdana" w:hAnsi="Verdana" w:cs="Verdana"/>
        <w:color w:val="000000"/>
        <w:sz w:val="18"/>
        <w:szCs w:val="18"/>
      </w:rPr>
    </w:pPr>
    <w:bookmarkStart w:id="0" w:name="_GoBack"/>
    <w:bookmarkEnd w:id="0"/>
    <w:r w:rsidRPr="001C4F15">
      <w:rPr>
        <w:rFonts w:ascii="Tahoma" w:hAnsi="Tahoma" w:cs="Tahoma"/>
        <w:color w:val="000000"/>
        <w:sz w:val="14"/>
        <w:szCs w:val="14"/>
      </w:rPr>
      <w:t xml:space="preserve">Κωδικός Πρόσκλησης: </w:t>
    </w:r>
    <w:r w:rsidR="00CE689D" w:rsidRPr="00CE689D">
      <w:rPr>
        <w:rFonts w:ascii="Tahoma" w:hAnsi="Tahoma" w:cs="Tahoma"/>
        <w:color w:val="000000"/>
        <w:sz w:val="14"/>
        <w:szCs w:val="14"/>
      </w:rPr>
      <w:t>12.21.5.1.1</w:t>
    </w:r>
    <w:r>
      <w:rPr>
        <w:rFonts w:ascii="Verdana" w:hAnsi="Verdana" w:cs="Verdana"/>
        <w:color w:val="000000"/>
        <w:sz w:val="18"/>
        <w:szCs w:val="18"/>
      </w:rPr>
      <w:tab/>
    </w:r>
    <w:r>
      <w:rPr>
        <w:rFonts w:ascii="Verdana" w:hAnsi="Verdana" w:cs="Verdana"/>
        <w:color w:val="000000"/>
        <w:sz w:val="18"/>
        <w:szCs w:val="18"/>
      </w:rPr>
      <w:tab/>
    </w:r>
    <w:r w:rsidRPr="006B313D">
      <w:rPr>
        <w:rFonts w:ascii="Verdana" w:hAnsi="Verdana" w:cs="Verdana"/>
        <w:color w:val="000000"/>
        <w:sz w:val="18"/>
        <w:szCs w:val="18"/>
      </w:rPr>
      <w:t xml:space="preserve">Σελίδα </w:t>
    </w:r>
    <w:r w:rsidRPr="006B313D">
      <w:rPr>
        <w:rFonts w:ascii="Verdana" w:hAnsi="Verdana" w:cs="Verdana"/>
        <w:color w:val="000000"/>
        <w:sz w:val="18"/>
        <w:szCs w:val="18"/>
      </w:rPr>
      <w:pgNum/>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89D" w:rsidRDefault="00CE68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E689D">
      <w:pPr>
        <w:spacing w:after="0" w:line="240" w:lineRule="auto"/>
      </w:pPr>
      <w:r>
        <w:separator/>
      </w:r>
    </w:p>
  </w:footnote>
  <w:footnote w:type="continuationSeparator" w:id="0">
    <w:p w:rsidR="00000000" w:rsidRDefault="00CE6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89D" w:rsidRDefault="00CE689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CE689D">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89D" w:rsidRDefault="00CE68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1">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5">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6">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7">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8">
    <w:nsid w:val="61362E31"/>
    <w:multiLevelType w:val="multilevel"/>
    <w:tmpl w:val="6AA004B0"/>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73"/>
    <w:rsid w:val="002A7073"/>
    <w:rsid w:val="00723958"/>
    <w:rsid w:val="00CE6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2038</Words>
  <Characters>11010</Characters>
  <Application>Microsoft Office Word</Application>
  <DocSecurity>0</DocSecurity>
  <Lines>91</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ΠΑΣΣΑΣ ΝΙΚΟΛΑΟΣ</cp:lastModifiedBy>
  <cp:revision>2</cp:revision>
  <dcterms:created xsi:type="dcterms:W3CDTF">2015-12-17T10:02:00Z</dcterms:created>
  <dcterms:modified xsi:type="dcterms:W3CDTF">2016-04-06T11:34:00Z</dcterms:modified>
</cp:coreProperties>
</file>