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AF9" w:rsidRPr="00637C10" w:rsidRDefault="009C7AF9" w:rsidP="00637C10">
      <w:pPr>
        <w:pStyle w:val="BodyText21"/>
        <w:spacing w:after="120" w:line="240" w:lineRule="auto"/>
        <w:ind w:right="26"/>
        <w:outlineLvl w:val="0"/>
        <w:rPr>
          <w:rFonts w:ascii="Tahoma" w:hAnsi="Tahoma" w:cs="Tahoma"/>
          <w:b/>
          <w:sz w:val="20"/>
        </w:rPr>
      </w:pPr>
      <w:r w:rsidRPr="00637C10">
        <w:rPr>
          <w:rFonts w:ascii="Tahoma" w:hAnsi="Tahoma" w:cs="Tahoma"/>
          <w:b/>
          <w:sz w:val="20"/>
        </w:rPr>
        <w:t xml:space="preserve">ΠΑΡΑΡΤΗΜΑ </w:t>
      </w:r>
      <w:r w:rsidR="00EC654E" w:rsidRPr="00637C10">
        <w:rPr>
          <w:rFonts w:ascii="Tahoma" w:hAnsi="Tahoma" w:cs="Tahoma"/>
          <w:b/>
          <w:sz w:val="20"/>
          <w:lang w:val="en-US"/>
        </w:rPr>
        <w:t>V</w:t>
      </w:r>
      <w:r w:rsidRPr="00637C10">
        <w:rPr>
          <w:rFonts w:ascii="Tahoma" w:hAnsi="Tahoma" w:cs="Tahoma"/>
          <w:b/>
          <w:sz w:val="20"/>
        </w:rPr>
        <w:t xml:space="preserve"> </w:t>
      </w:r>
      <w:r w:rsidR="00EC654E" w:rsidRPr="00637C10">
        <w:rPr>
          <w:rFonts w:ascii="Tahoma" w:hAnsi="Tahoma" w:cs="Tahoma"/>
          <w:b/>
          <w:sz w:val="20"/>
        </w:rPr>
        <w:t>–</w:t>
      </w:r>
      <w:r w:rsidRPr="00637C10">
        <w:rPr>
          <w:rFonts w:ascii="Tahoma" w:hAnsi="Tahoma" w:cs="Tahoma"/>
          <w:b/>
          <w:sz w:val="20"/>
        </w:rPr>
        <w:t xml:space="preserve"> </w:t>
      </w:r>
      <w:r w:rsidR="00EC654E" w:rsidRPr="00637C10">
        <w:rPr>
          <w:rFonts w:ascii="Tahoma" w:hAnsi="Tahoma" w:cs="Tahoma"/>
          <w:b/>
          <w:sz w:val="20"/>
        </w:rPr>
        <w:t>Έλεγχος τήρησης υποχρεώσεων του Κανονισμού (ΕΕ) αριθ. 651/2014 της Επιτροπής, της 17</w:t>
      </w:r>
      <w:r w:rsidR="00EC654E" w:rsidRPr="00637C10">
        <w:rPr>
          <w:rFonts w:ascii="Tahoma" w:hAnsi="Tahoma" w:cs="Tahoma"/>
          <w:b/>
          <w:sz w:val="20"/>
          <w:vertAlign w:val="superscript"/>
        </w:rPr>
        <w:t>ης</w:t>
      </w:r>
      <w:r w:rsidR="00EC654E" w:rsidRPr="00637C10">
        <w:rPr>
          <w:rFonts w:ascii="Tahoma" w:hAnsi="Tahoma" w:cs="Tahoma"/>
          <w:b/>
          <w:sz w:val="20"/>
        </w:rPr>
        <w:t xml:space="preserve"> Ιουνίου 2014, για την </w:t>
      </w:r>
      <w:r w:rsidR="00313779" w:rsidRPr="00637C10">
        <w:rPr>
          <w:rFonts w:ascii="Tahoma" w:hAnsi="Tahoma" w:cs="Tahoma"/>
          <w:b/>
          <w:sz w:val="20"/>
        </w:rPr>
        <w:t>κήρυξη</w:t>
      </w:r>
      <w:r w:rsidR="00EC654E" w:rsidRPr="00637C10">
        <w:rPr>
          <w:rFonts w:ascii="Tahoma" w:hAnsi="Tahoma" w:cs="Tahoma"/>
          <w:b/>
          <w:sz w:val="20"/>
        </w:rPr>
        <w:t xml:space="preserve"> ορισμένων κατηγοριών ενισχύσεων ως συμβατών με την εσωτερική αγορά κατ’ εφαρμογή των άρθρων 107 και 108 της Συνθήκες (Γ</w:t>
      </w:r>
      <w:r w:rsidR="00880E0A">
        <w:rPr>
          <w:rFonts w:ascii="Tahoma" w:hAnsi="Tahoma" w:cs="Tahoma"/>
          <w:b/>
          <w:sz w:val="20"/>
        </w:rPr>
        <w:t>ενικός Απαλλακτικός Κανονισμός - Γ</w:t>
      </w:r>
      <w:r w:rsidR="00EC654E" w:rsidRPr="00637C10">
        <w:rPr>
          <w:rFonts w:ascii="Tahoma" w:hAnsi="Tahoma" w:cs="Tahoma"/>
          <w:b/>
          <w:sz w:val="20"/>
        </w:rPr>
        <w:t>ΑΚ)</w:t>
      </w:r>
    </w:p>
    <w:p w:rsidR="00313779" w:rsidRPr="00637C10" w:rsidRDefault="00313779" w:rsidP="00637C10">
      <w:pPr>
        <w:pStyle w:val="BodyText21"/>
        <w:spacing w:after="120" w:line="240" w:lineRule="auto"/>
        <w:ind w:right="26"/>
        <w:outlineLvl w:val="0"/>
        <w:rPr>
          <w:rFonts w:ascii="Tahoma" w:hAnsi="Tahoma" w:cs="Tahoma"/>
          <w:b/>
          <w:sz w:val="20"/>
        </w:rPr>
      </w:pPr>
    </w:p>
    <w:p w:rsidR="00313779" w:rsidRPr="00637C10" w:rsidRDefault="00313779" w:rsidP="00637C10">
      <w:pPr>
        <w:pStyle w:val="BodyText21"/>
        <w:spacing w:after="120" w:line="240" w:lineRule="auto"/>
        <w:ind w:right="26"/>
        <w:outlineLvl w:val="0"/>
        <w:rPr>
          <w:rFonts w:ascii="Tahoma" w:hAnsi="Tahoma" w:cs="Tahoma"/>
          <w:b/>
          <w:sz w:val="20"/>
        </w:rPr>
      </w:pPr>
      <w:r w:rsidRPr="00637C10">
        <w:rPr>
          <w:rFonts w:ascii="Tahoma" w:hAnsi="Tahoma" w:cs="Tahoma"/>
          <w:b/>
          <w:sz w:val="20"/>
        </w:rPr>
        <w:t xml:space="preserve">Α. Υποχρεώσεις Γενικού μέρους </w:t>
      </w:r>
      <w:r w:rsidR="00784ED5" w:rsidRPr="00637C10">
        <w:rPr>
          <w:rFonts w:ascii="Tahoma" w:hAnsi="Tahoma" w:cs="Tahoma"/>
          <w:b/>
          <w:sz w:val="20"/>
        </w:rPr>
        <w:t xml:space="preserve">(Κεφαλαίου Ι) </w:t>
      </w:r>
      <w:r w:rsidRPr="00637C10">
        <w:rPr>
          <w:rFonts w:ascii="Tahoma" w:hAnsi="Tahoma" w:cs="Tahoma"/>
          <w:b/>
          <w:sz w:val="20"/>
        </w:rPr>
        <w:t>του ΓΑΚ</w:t>
      </w:r>
    </w:p>
    <w:p w:rsidR="002D242C" w:rsidRDefault="00AF64AE" w:rsidP="002D242C">
      <w:pPr>
        <w:spacing w:after="120" w:line="240" w:lineRule="auto"/>
        <w:ind w:left="284"/>
        <w:jc w:val="both"/>
        <w:rPr>
          <w:rFonts w:ascii="Tahoma" w:hAnsi="Tahoma" w:cs="Tahoma"/>
          <w:sz w:val="20"/>
          <w:szCs w:val="20"/>
        </w:rPr>
      </w:pPr>
      <w:r w:rsidRPr="00637C10">
        <w:rPr>
          <w:rFonts w:ascii="Tahoma" w:hAnsi="Tahoma" w:cs="Tahoma"/>
          <w:sz w:val="20"/>
          <w:szCs w:val="20"/>
        </w:rPr>
        <w:t>Πρέπει να τηρούνται τα ακόλουθα</w:t>
      </w:r>
      <w:r w:rsidR="00C06212" w:rsidRPr="00637C10">
        <w:rPr>
          <w:rFonts w:ascii="Tahoma" w:hAnsi="Tahoma" w:cs="Tahoma"/>
          <w:sz w:val="20"/>
          <w:szCs w:val="20"/>
        </w:rPr>
        <w:t xml:space="preserve"> </w:t>
      </w:r>
    </w:p>
    <w:p w:rsidR="00AF64AE" w:rsidRPr="00637C10" w:rsidRDefault="00C06212" w:rsidP="002D242C">
      <w:pPr>
        <w:spacing w:after="120" w:line="240" w:lineRule="auto"/>
        <w:ind w:left="284"/>
        <w:jc w:val="both"/>
        <w:rPr>
          <w:rFonts w:ascii="Tahoma" w:hAnsi="Tahoma" w:cs="Tahoma"/>
          <w:sz w:val="20"/>
          <w:szCs w:val="20"/>
        </w:rPr>
      </w:pPr>
      <w:r w:rsidRPr="00637C10">
        <w:rPr>
          <w:rFonts w:ascii="Tahoma" w:hAnsi="Tahoma" w:cs="Tahoma"/>
          <w:sz w:val="20"/>
          <w:szCs w:val="20"/>
        </w:rPr>
        <w:t>και να προβλέπεται διαδικασία/μηχανισμός επιβεβαίωσης και παρακολούθησης της συμβατότητας με τα ακόλουθα</w:t>
      </w:r>
      <w:r w:rsidR="00AF64AE" w:rsidRPr="00637C10">
        <w:rPr>
          <w:rFonts w:ascii="Tahoma" w:hAnsi="Tahoma" w:cs="Tahoma"/>
          <w:sz w:val="20"/>
          <w:szCs w:val="20"/>
        </w:rPr>
        <w:t>:</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 xml:space="preserve">Αποκλεισμός των επιχειρήσεων τις οποίες αφορά ο κανόνας </w:t>
      </w:r>
      <w:proofErr w:type="spellStart"/>
      <w:r w:rsidRPr="00637C10">
        <w:rPr>
          <w:rFonts w:ascii="Tahoma" w:hAnsi="Tahoma" w:cs="Tahoma"/>
          <w:sz w:val="20"/>
          <w:szCs w:val="20"/>
          <w:u w:val="single"/>
        </w:rPr>
        <w:t>Deggendorf</w:t>
      </w:r>
      <w:proofErr w:type="spellEnd"/>
      <w:r w:rsidRPr="00637C10">
        <w:rPr>
          <w:rFonts w:ascii="Tahoma" w:hAnsi="Tahoma" w:cs="Tahoma"/>
          <w:sz w:val="20"/>
          <w:szCs w:val="20"/>
          <w:u w:val="single"/>
        </w:rPr>
        <w:t xml:space="preserve"> </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Ο ΓΑΚ δεν εφαρμόζεται στα καθεστώτα ενισχύσεων που δεν αποκλείουν ρητά την καταβολή μεμονωμένων ενισχύσεων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 και ασυμβίβαστη και δεν εφαρμόζεται στις </w:t>
      </w:r>
      <w:proofErr w:type="spellStart"/>
      <w:r w:rsidRPr="00637C10">
        <w:rPr>
          <w:rFonts w:ascii="Tahoma" w:hAnsi="Tahoma" w:cs="Tahoma"/>
          <w:sz w:val="20"/>
          <w:szCs w:val="20"/>
        </w:rPr>
        <w:t>ad</w:t>
      </w:r>
      <w:proofErr w:type="spellEnd"/>
      <w:r w:rsidRPr="00637C10">
        <w:rPr>
          <w:rFonts w:ascii="Tahoma" w:hAnsi="Tahoma" w:cs="Tahoma"/>
          <w:sz w:val="20"/>
          <w:szCs w:val="20"/>
        </w:rPr>
        <w:t xml:space="preserve"> </w:t>
      </w:r>
      <w:proofErr w:type="spellStart"/>
      <w:r w:rsidRPr="00637C10">
        <w:rPr>
          <w:rFonts w:ascii="Tahoma" w:hAnsi="Tahoma" w:cs="Tahoma"/>
          <w:sz w:val="20"/>
          <w:szCs w:val="20"/>
        </w:rPr>
        <w:t>hoc</w:t>
      </w:r>
      <w:proofErr w:type="spellEnd"/>
      <w:r w:rsidRPr="00637C10">
        <w:rPr>
          <w:rFonts w:ascii="Tahoma" w:hAnsi="Tahoma" w:cs="Tahoma"/>
          <w:sz w:val="20"/>
          <w:szCs w:val="20"/>
        </w:rPr>
        <w:t xml:space="preserve"> ενισχύσεις υπέρ μιας τέτοιας επιχείρησης. </w:t>
      </w:r>
    </w:p>
    <w:p w:rsidR="00AF64AE" w:rsidRPr="00637C10" w:rsidRDefault="00AF64AE" w:rsidP="00637C10">
      <w:pPr>
        <w:numPr>
          <w:ilvl w:val="0"/>
          <w:numId w:val="2"/>
        </w:numPr>
        <w:spacing w:after="120" w:line="240" w:lineRule="auto"/>
        <w:jc w:val="both"/>
        <w:rPr>
          <w:rFonts w:ascii="Tahoma" w:hAnsi="Tahoma" w:cs="Tahoma"/>
          <w:sz w:val="20"/>
          <w:szCs w:val="20"/>
        </w:rPr>
      </w:pPr>
      <w:r w:rsidRPr="00637C10">
        <w:rPr>
          <w:rFonts w:ascii="Tahoma" w:hAnsi="Tahoma" w:cs="Tahoma"/>
          <w:sz w:val="20"/>
          <w:szCs w:val="20"/>
          <w:u w:val="single"/>
        </w:rPr>
        <w:t>Αποκλεισμός των προβληματικών επιχειρήσεων</w:t>
      </w:r>
      <w:r w:rsidRPr="00637C10">
        <w:rPr>
          <w:rFonts w:ascii="Tahoma" w:hAnsi="Tahoma" w:cs="Tahoma"/>
          <w:sz w:val="20"/>
          <w:szCs w:val="20"/>
        </w:rPr>
        <w:t xml:space="preserve"> </w:t>
      </w:r>
    </w:p>
    <w:p w:rsidR="00D17738"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 ΓΑΚ δεν εφαρμόζεται στις ενισχύσεις για προβληματικές επιχειρήσεις.</w:t>
      </w:r>
      <w:r w:rsidR="006C4880" w:rsidRPr="00637C10">
        <w:rPr>
          <w:rFonts w:ascii="Tahoma" w:hAnsi="Tahoma" w:cs="Tahoma"/>
          <w:sz w:val="20"/>
          <w:szCs w:val="20"/>
        </w:rPr>
        <w:t xml:space="preserve"> </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 xml:space="preserve">Αποκλεισμός των μέτρων ενισχύσεων που παραβιάζουν το δίκαιο της Ένωσης </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 ΓΑΚ δεν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β) την υποχρέωση του δικαιούχου να χρησιμοποιεί προϊόντα εγχώριας παραγωγής ή εθνικές υπηρεσίες·</w:t>
      </w:r>
    </w:p>
    <w:p w:rsidR="00AF64AE" w:rsidRPr="00637C10" w:rsidRDefault="00AF64AE" w:rsidP="00637C10">
      <w:pPr>
        <w:spacing w:after="120" w:line="240" w:lineRule="auto"/>
        <w:ind w:left="357"/>
        <w:jc w:val="both"/>
        <w:rPr>
          <w:rFonts w:ascii="Tahoma" w:hAnsi="Tahoma" w:cs="Tahoma"/>
          <w:sz w:val="20"/>
          <w:szCs w:val="20"/>
        </w:rPr>
      </w:pPr>
      <w:r w:rsidRPr="00637C10">
        <w:rPr>
          <w:rFonts w:ascii="Tahoma" w:hAnsi="Tahoma" w:cs="Tahoma"/>
          <w:sz w:val="20"/>
          <w:szCs w:val="20"/>
        </w:rPr>
        <w:t>γ) τον περιορισμό της δυνατότητας των δικαιούχων να κάνουν χρήση των αποτελεσμάτων της έρευνας, ανάπτυξης και καινοτομίας σε άλλα κράτη μέλη.</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Όρια κοινοποίησης μεμονωμένων ενισχύσεων</w:t>
      </w:r>
    </w:p>
    <w:p w:rsidR="004D1C36" w:rsidRPr="004D1C36" w:rsidRDefault="00AF64AE" w:rsidP="004D1C36">
      <w:pPr>
        <w:pStyle w:val="a6"/>
        <w:numPr>
          <w:ilvl w:val="0"/>
          <w:numId w:val="19"/>
        </w:numPr>
        <w:spacing w:after="120" w:line="240" w:lineRule="auto"/>
        <w:jc w:val="both"/>
        <w:rPr>
          <w:rFonts w:ascii="Tahoma" w:hAnsi="Tahoma" w:cs="Tahoma"/>
          <w:sz w:val="20"/>
          <w:szCs w:val="20"/>
        </w:rPr>
      </w:pPr>
      <w:r w:rsidRPr="004D1C36">
        <w:rPr>
          <w:rFonts w:ascii="Tahoma" w:hAnsi="Tahoma" w:cs="Tahoma"/>
          <w:sz w:val="20"/>
          <w:szCs w:val="20"/>
        </w:rPr>
        <w:t>Ο ΓΑΚ δεν εφαρμόζεται</w:t>
      </w:r>
      <w:r w:rsidR="004D1C36" w:rsidRPr="004D1C36">
        <w:rPr>
          <w:rFonts w:ascii="Tahoma" w:hAnsi="Tahoma" w:cs="Tahoma"/>
          <w:sz w:val="20"/>
          <w:szCs w:val="20"/>
        </w:rPr>
        <w:t xml:space="preserve"> στις ενισχύσεις που υπερβαίνουν τα ακόλουθα όρια</w:t>
      </w:r>
      <w:r w:rsidR="005D3242">
        <w:rPr>
          <w:rFonts w:ascii="Tahoma" w:hAnsi="Tahoma" w:cs="Tahoma"/>
          <w:sz w:val="20"/>
          <w:szCs w:val="20"/>
        </w:rPr>
        <w:t>:</w:t>
      </w:r>
    </w:p>
    <w:p w:rsidR="009C5AB6" w:rsidRPr="004D1C36" w:rsidRDefault="004D1C36" w:rsidP="004D1C36">
      <w:pPr>
        <w:spacing w:after="120" w:line="240" w:lineRule="auto"/>
        <w:ind w:left="360"/>
        <w:jc w:val="both"/>
        <w:rPr>
          <w:rFonts w:ascii="Tahoma" w:hAnsi="Tahoma" w:cs="Tahoma"/>
          <w:sz w:val="20"/>
          <w:szCs w:val="20"/>
        </w:rPr>
      </w:pPr>
      <w:r>
        <w:rPr>
          <w:rFonts w:ascii="Tahoma" w:hAnsi="Tahoma" w:cs="Tahoma"/>
          <w:sz w:val="20"/>
          <w:szCs w:val="20"/>
        </w:rPr>
        <w:t xml:space="preserve">α) </w:t>
      </w:r>
      <w:r w:rsidR="00B7227D" w:rsidRPr="004D1C36">
        <w:rPr>
          <w:rFonts w:ascii="Tahoma" w:hAnsi="Tahoma" w:cs="Tahoma"/>
          <w:sz w:val="20"/>
          <w:szCs w:val="20"/>
        </w:rPr>
        <w:t xml:space="preserve">για τις επενδυτικές ενισχύσεις για την προστασία του περιβάλλοντος, εξαιρουμένων των επενδυτικών ενισχύσεων για την αποκατάσταση μολυσμένων χώρων και των ενισχύσεων για το σκέλος του δικτύου διανομής της εγκατάστασης ενεργειακά αποδοτικών συστημάτων τηλεθέρμανσης και </w:t>
      </w:r>
      <w:proofErr w:type="spellStart"/>
      <w:r w:rsidR="00B7227D" w:rsidRPr="004D1C36">
        <w:rPr>
          <w:rFonts w:ascii="Tahoma" w:hAnsi="Tahoma" w:cs="Tahoma"/>
          <w:sz w:val="20"/>
          <w:szCs w:val="20"/>
        </w:rPr>
        <w:t>τηλεψύξης</w:t>
      </w:r>
      <w:proofErr w:type="spellEnd"/>
      <w:r w:rsidR="00B7227D" w:rsidRPr="004D1C36">
        <w:rPr>
          <w:rFonts w:ascii="Tahoma" w:hAnsi="Tahoma" w:cs="Tahoma"/>
          <w:sz w:val="20"/>
          <w:szCs w:val="20"/>
        </w:rPr>
        <w:t xml:space="preserve">: 15 εκατ. ευρώ ανά επιχείρηση και ανά επενδυτικό </w:t>
      </w:r>
      <w:r w:rsidR="00D21A90" w:rsidRPr="004D1C36">
        <w:rPr>
          <w:rFonts w:ascii="Tahoma" w:hAnsi="Tahoma" w:cs="Tahoma"/>
          <w:sz w:val="20"/>
          <w:szCs w:val="20"/>
        </w:rPr>
        <w:t>έργο.</w:t>
      </w:r>
    </w:p>
    <w:p w:rsidR="009258AC" w:rsidRPr="00637C10" w:rsidRDefault="004D1C36" w:rsidP="00C52AA1">
      <w:pPr>
        <w:spacing w:after="120" w:line="240" w:lineRule="auto"/>
        <w:ind w:left="360"/>
        <w:jc w:val="both"/>
        <w:rPr>
          <w:rFonts w:ascii="Tahoma" w:hAnsi="Tahoma" w:cs="Tahoma"/>
          <w:sz w:val="20"/>
          <w:szCs w:val="20"/>
        </w:rPr>
      </w:pPr>
      <w:r>
        <w:rPr>
          <w:rFonts w:ascii="Tahoma" w:hAnsi="Tahoma" w:cs="Tahoma"/>
          <w:sz w:val="20"/>
          <w:szCs w:val="20"/>
        </w:rPr>
        <w:t>β</w:t>
      </w:r>
      <w:r w:rsidR="009258AC" w:rsidRPr="00637C10">
        <w:rPr>
          <w:rFonts w:ascii="Tahoma" w:hAnsi="Tahoma" w:cs="Tahoma"/>
          <w:sz w:val="20"/>
          <w:szCs w:val="20"/>
        </w:rPr>
        <w:t>) για τις ενισχύσεις λειτουργίας για την παραγωγή ηλεκτρικής ενέργειας από ανανεώσιμες πηγές και για τις ενισχύσεις λειτουργίας για την προώθηση της παραγωγής ενέργειας από ανανεώσιμες πηγές σε εγκαταστάσεις μικρής κλίμακας: 15 εκατ. ευρώ ανά επιχείρηση και ανά έργο. Όταν η ενίσχυση χορηγείται βάσει ανταγωνιστικής διαδικασίας υποβολής προσφορών σύμφωνα με το άρθρο 42</w:t>
      </w:r>
      <w:r w:rsidR="007D7364">
        <w:rPr>
          <w:rFonts w:ascii="Tahoma" w:hAnsi="Tahoma" w:cs="Tahoma"/>
          <w:sz w:val="20"/>
          <w:szCs w:val="20"/>
        </w:rPr>
        <w:t xml:space="preserve"> του ΓΑΚ</w:t>
      </w:r>
      <w:r w:rsidR="009258AC" w:rsidRPr="00637C10">
        <w:rPr>
          <w:rFonts w:ascii="Tahoma" w:hAnsi="Tahoma" w:cs="Tahoma"/>
          <w:sz w:val="20"/>
          <w:szCs w:val="20"/>
        </w:rPr>
        <w:t>: 150 εκατ. ευρώ ετησίως, λαμβανομένου υπόψη του συνδυασμένου προϋπολογισμού</w:t>
      </w:r>
      <w:r w:rsidR="00764DEB">
        <w:rPr>
          <w:rFonts w:ascii="Tahoma" w:hAnsi="Tahoma" w:cs="Tahoma"/>
          <w:sz w:val="20"/>
          <w:szCs w:val="20"/>
        </w:rPr>
        <w:t xml:space="preserve"> </w:t>
      </w:r>
      <w:r w:rsidR="009258AC" w:rsidRPr="00637C10">
        <w:rPr>
          <w:rFonts w:ascii="Tahoma" w:hAnsi="Tahoma" w:cs="Tahoma"/>
          <w:sz w:val="20"/>
          <w:szCs w:val="20"/>
        </w:rPr>
        <w:t>όλων των καθεστώτων που εμπίπτουν στο άρθρο 42·του ΓΑΚ.</w:t>
      </w:r>
    </w:p>
    <w:p w:rsidR="00AF64AE" w:rsidRDefault="009258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2. </w:t>
      </w:r>
      <w:r w:rsidR="00AF64AE" w:rsidRPr="00637C10">
        <w:rPr>
          <w:rFonts w:ascii="Tahoma" w:hAnsi="Tahoma" w:cs="Tahoma"/>
          <w:sz w:val="20"/>
          <w:szCs w:val="20"/>
        </w:rPr>
        <w:t>Τα όρια δεν επιτρέπεται να καταστρατηγούνται με τον τεχνητό διαχωρισμό των καθεστώτων ενισχύσεων ή των έργων ενίσχυσης.</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Χαρακτήρας κινήτρου</w:t>
      </w:r>
      <w:r w:rsidR="00D02341">
        <w:rPr>
          <w:rFonts w:ascii="Tahoma" w:hAnsi="Tahoma" w:cs="Tahoma"/>
          <w:sz w:val="20"/>
          <w:szCs w:val="20"/>
          <w:u w:val="single"/>
          <w:lang w:val="en-US"/>
        </w:rPr>
        <w:t xml:space="preserve"> </w:t>
      </w:r>
      <w:r w:rsidR="00D02341" w:rsidRPr="00FB67A8">
        <w:rPr>
          <w:rStyle w:val="ae"/>
          <w:rFonts w:ascii="Tahoma" w:hAnsi="Tahoma" w:cs="Tahoma"/>
          <w:sz w:val="20"/>
          <w:szCs w:val="20"/>
          <w:highlight w:val="green"/>
          <w:u w:val="single"/>
          <w:lang w:val="en-US"/>
        </w:rPr>
        <w:footnoteReference w:id="1"/>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lastRenderedPageBreak/>
        <w:t>Οι ενισχύσεις μπορούν να τύχουν απαλλαγής μόνον εάν έχουν χαρακτήρα κινήτρου</w:t>
      </w:r>
      <w:r w:rsidR="006326AC" w:rsidRPr="00637C10">
        <w:rPr>
          <w:rFonts w:ascii="Tahoma" w:hAnsi="Tahoma" w:cs="Tahoma"/>
          <w:sz w:val="20"/>
          <w:szCs w:val="20"/>
        </w:rPr>
        <w:t>, ως ακολούθως</w:t>
      </w:r>
      <w:r w:rsidRPr="00637C10">
        <w:rPr>
          <w:rFonts w:ascii="Tahoma" w:hAnsi="Tahoma" w:cs="Tahoma"/>
          <w:sz w:val="20"/>
          <w:szCs w:val="20"/>
        </w:rPr>
        <w:t>:</w:t>
      </w:r>
    </w:p>
    <w:p w:rsidR="00AF64AE" w:rsidRPr="00637C10" w:rsidRDefault="006326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α) </w:t>
      </w:r>
      <w:r w:rsidR="00AF64AE" w:rsidRPr="00637C10">
        <w:rPr>
          <w:rFonts w:ascii="Tahoma" w:hAnsi="Tahoma" w:cs="Tahoma"/>
          <w:sz w:val="20"/>
          <w:szCs w:val="20"/>
        </w:rPr>
        <w:t xml:space="preserve">Ο δικαιούχος έχει υποβάλει αίτηση ενίσχυσης στο κράτος μέλος, </w:t>
      </w:r>
      <w:r w:rsidR="00AF64AE" w:rsidRPr="00FB67A8">
        <w:rPr>
          <w:rFonts w:ascii="Tahoma" w:hAnsi="Tahoma" w:cs="Tahoma"/>
          <w:sz w:val="20"/>
          <w:szCs w:val="20"/>
        </w:rPr>
        <w:t>πριν από την έναρξη του έργου ή των εργασιών</w:t>
      </w:r>
      <w:r w:rsidR="00272CF0" w:rsidRPr="00FB67A8">
        <w:rPr>
          <w:rFonts w:ascii="Tahoma" w:hAnsi="Tahoma" w:cs="Tahoma"/>
          <w:sz w:val="20"/>
          <w:szCs w:val="20"/>
        </w:rPr>
        <w:t xml:space="preserve"> </w:t>
      </w:r>
      <w:r w:rsidR="00272CF0" w:rsidRPr="00FB67A8">
        <w:rPr>
          <w:rStyle w:val="ae"/>
          <w:rFonts w:ascii="Tahoma" w:hAnsi="Tahoma" w:cs="Tahoma"/>
          <w:sz w:val="20"/>
          <w:szCs w:val="20"/>
          <w:highlight w:val="green"/>
        </w:rPr>
        <w:footnoteReference w:id="2"/>
      </w:r>
      <w:r w:rsidR="00AF64AE" w:rsidRPr="00FB67A8">
        <w:rPr>
          <w:rFonts w:ascii="Tahoma" w:hAnsi="Tahoma" w:cs="Tahoma"/>
          <w:sz w:val="20"/>
          <w:szCs w:val="20"/>
          <w:highlight w:val="green"/>
        </w:rPr>
        <w:t>,</w:t>
      </w:r>
      <w:r w:rsidR="00AF64AE" w:rsidRPr="00637C10">
        <w:rPr>
          <w:rFonts w:ascii="Tahoma" w:hAnsi="Tahoma" w:cs="Tahoma"/>
          <w:sz w:val="20"/>
          <w:szCs w:val="20"/>
        </w:rPr>
        <w:t xml:space="preserve"> που περιλαμβάνει τουλάχιστον τα ακόλουθα στοιχεία:</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την ονομασία και το μέγεθος της επιχείρησης·</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περιγραφή του έργου, συμπεριλαμβανομένων των ημερομηνιών έναρξης και λήξης·</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τον τόπο εκτέλεσης του έργου·</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κατάλογο των δαπανών του έργου·</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rsidR="00AF64AE" w:rsidRPr="00637C10" w:rsidRDefault="006326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β) </w:t>
      </w:r>
      <w:proofErr w:type="spellStart"/>
      <w:r w:rsidR="00AF64AE" w:rsidRPr="00637C10">
        <w:rPr>
          <w:rFonts w:ascii="Tahoma" w:hAnsi="Tahoma" w:cs="Tahoma"/>
          <w:sz w:val="20"/>
          <w:szCs w:val="20"/>
        </w:rPr>
        <w:t>Ad</w:t>
      </w:r>
      <w:proofErr w:type="spellEnd"/>
      <w:r w:rsidR="00AF64AE" w:rsidRPr="00637C10">
        <w:rPr>
          <w:rFonts w:ascii="Tahoma" w:hAnsi="Tahoma" w:cs="Tahoma"/>
          <w:sz w:val="20"/>
          <w:szCs w:val="20"/>
        </w:rPr>
        <w:t xml:space="preserve"> </w:t>
      </w:r>
      <w:proofErr w:type="spellStart"/>
      <w:r w:rsidR="00AF64AE" w:rsidRPr="00637C10">
        <w:rPr>
          <w:rFonts w:ascii="Tahoma" w:hAnsi="Tahoma" w:cs="Tahoma"/>
          <w:sz w:val="20"/>
          <w:szCs w:val="20"/>
        </w:rPr>
        <w:t>hoc</w:t>
      </w:r>
      <w:proofErr w:type="spellEnd"/>
      <w:r w:rsidR="00AF64AE" w:rsidRPr="00637C10">
        <w:rPr>
          <w:rFonts w:ascii="Tahoma" w:hAnsi="Tahoma" w:cs="Tahoma"/>
          <w:sz w:val="20"/>
          <w:szCs w:val="20"/>
        </w:rPr>
        <w:t xml:space="preserve"> ενισ</w:t>
      </w:r>
      <w:r w:rsidRPr="00637C10">
        <w:rPr>
          <w:rFonts w:ascii="Tahoma" w:hAnsi="Tahoma" w:cs="Tahoma"/>
          <w:sz w:val="20"/>
          <w:szCs w:val="20"/>
        </w:rPr>
        <w:t xml:space="preserve">χύσεις σε μεγάλες επιχειρήσεις, </w:t>
      </w:r>
      <w:r w:rsidR="00AF64AE" w:rsidRPr="00637C10">
        <w:rPr>
          <w:rFonts w:ascii="Tahoma" w:hAnsi="Tahoma" w:cs="Tahoma"/>
          <w:sz w:val="20"/>
          <w:szCs w:val="20"/>
        </w:rPr>
        <w:t>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ουσιώδης αύξηση του αντικειμένου του έργου/της δραστηριότητ</w:t>
      </w:r>
      <w:r w:rsidR="00BA51A5">
        <w:rPr>
          <w:rFonts w:ascii="Tahoma" w:hAnsi="Tahoma" w:cs="Tahoma"/>
          <w:sz w:val="20"/>
          <w:szCs w:val="20"/>
        </w:rPr>
        <w:t xml:space="preserve">ας ως αποτέλεσμα της </w:t>
      </w:r>
      <w:proofErr w:type="spellStart"/>
      <w:r w:rsidR="00BA51A5">
        <w:rPr>
          <w:rFonts w:ascii="Tahoma" w:hAnsi="Tahoma" w:cs="Tahoma"/>
          <w:sz w:val="20"/>
          <w:szCs w:val="20"/>
        </w:rPr>
        <w:t>ενίσχυσης</w:t>
      </w:r>
      <w:r w:rsidR="0033455F">
        <w:rPr>
          <w:rFonts w:ascii="Tahoma" w:hAnsi="Tahoma" w:cs="Tahoma"/>
          <w:sz w:val="20"/>
          <w:szCs w:val="20"/>
        </w:rPr>
        <w:t>,</w:t>
      </w:r>
      <w:r w:rsidR="00BA51A5">
        <w:rPr>
          <w:rFonts w:ascii="Tahoma" w:hAnsi="Tahoma" w:cs="Tahoma"/>
          <w:sz w:val="20"/>
          <w:szCs w:val="20"/>
        </w:rPr>
        <w:t>·</w:t>
      </w:r>
      <w:r w:rsidRPr="00637C10">
        <w:rPr>
          <w:rFonts w:ascii="Tahoma" w:hAnsi="Tahoma" w:cs="Tahoma"/>
          <w:sz w:val="20"/>
          <w:szCs w:val="20"/>
        </w:rPr>
        <w:t>ή</w:t>
      </w:r>
      <w:proofErr w:type="spellEnd"/>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ουσιώδης αύξηση του συνολικού ποσού που δαπανά ο δικαιούχος για το έργο/τη δραστηριότητα ως αποτέλεσμα της ενίσχυσης</w:t>
      </w:r>
      <w:r w:rsidR="0033455F">
        <w:rPr>
          <w:rFonts w:ascii="Tahoma" w:hAnsi="Tahoma" w:cs="Tahoma"/>
          <w:sz w:val="20"/>
          <w:szCs w:val="20"/>
        </w:rPr>
        <w:t>,</w:t>
      </w:r>
      <w:r w:rsidRPr="00637C10">
        <w:rPr>
          <w:rFonts w:ascii="Tahoma" w:hAnsi="Tahoma" w:cs="Tahoma"/>
          <w:sz w:val="20"/>
          <w:szCs w:val="20"/>
        </w:rPr>
        <w:t xml:space="preserve"> ή</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ουσιώδης αύξηση της ταχύτητας ολοκλήρωσης του συγκεκριμένου έργου/δραστηριότητας.</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Επιλέξιμες δαπάνες</w:t>
      </w:r>
    </w:p>
    <w:p w:rsidR="00297463"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Για τον υπολογισμό της έντασης της ενίσχυσης λαμβάνονται υπόψη αριθμητικά στοιχεία πριν από την αφαίρεση φόρων ή άλλων επιβαρύνσεων.</w:t>
      </w:r>
      <w:r w:rsidR="00297463" w:rsidRPr="00637C10">
        <w:rPr>
          <w:rFonts w:ascii="Tahoma" w:hAnsi="Tahoma" w:cs="Tahoma"/>
          <w:sz w:val="20"/>
          <w:szCs w:val="20"/>
        </w:rPr>
        <w:t xml:space="preserve"> </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 xml:space="preserve">Οι επιλέξιμες δαπάνες τεκμηριώνονται με σαφή, συγκεκριμένα και </w:t>
      </w:r>
      <w:proofErr w:type="spellStart"/>
      <w:r w:rsidRPr="00637C10">
        <w:rPr>
          <w:rFonts w:ascii="Tahoma" w:hAnsi="Tahoma" w:cs="Tahoma"/>
          <w:sz w:val="20"/>
          <w:szCs w:val="20"/>
        </w:rPr>
        <w:t>επικαιροποιημένα</w:t>
      </w:r>
      <w:proofErr w:type="spellEnd"/>
      <w:r w:rsidRPr="00637C10">
        <w:rPr>
          <w:rFonts w:ascii="Tahoma" w:hAnsi="Tahoma" w:cs="Tahoma"/>
          <w:sz w:val="20"/>
          <w:szCs w:val="20"/>
        </w:rPr>
        <w:t xml:space="preserve"> έγγραφα.</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Σώρευση</w:t>
      </w:r>
    </w:p>
    <w:p w:rsidR="00C77FBA"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Η </w:t>
      </w:r>
      <w:r w:rsidR="00145D10">
        <w:rPr>
          <w:rFonts w:ascii="Tahoma" w:hAnsi="Tahoma" w:cs="Tahoma"/>
          <w:sz w:val="20"/>
          <w:szCs w:val="20"/>
        </w:rPr>
        <w:t>Δ.Α.</w:t>
      </w:r>
      <w:r w:rsidRPr="00637C10">
        <w:rPr>
          <w:rFonts w:ascii="Tahoma" w:hAnsi="Tahoma" w:cs="Tahoma"/>
          <w:sz w:val="20"/>
          <w:szCs w:val="20"/>
        </w:rPr>
        <w:t xml:space="preserve"> πρέπει να επιβεβαιώνει κάθε φορά ότι τηρούνται τα όρια κοινοποίησης του σημείου 4 ανωτέρω και οι μέγιστες εντάσεις ενίσχυσης του εφαρμοστέου κάθε φορά άρθρου του ειδικού μέρους του ΓΑΚ. </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Για τον σκοπό αυτό:</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Για τα όρια και τις μέγιστες εντάσεις ενίσχυσης λαμβάνεται υπόψη το συνολικό ποσό της ενίσχυσης·</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Ε</w:t>
      </w:r>
      <w:r w:rsidR="00AF64AE" w:rsidRPr="00637C10">
        <w:rPr>
          <w:rFonts w:ascii="Tahoma" w:hAnsi="Tahoma" w:cs="Tahoma"/>
          <w:sz w:val="20"/>
          <w:szCs w:val="20"/>
        </w:rPr>
        <w:t xml:space="preserve">άν </w:t>
      </w:r>
      <w:proofErr w:type="spellStart"/>
      <w:r w:rsidR="00AF64AE" w:rsidRPr="00637C10">
        <w:rPr>
          <w:rFonts w:ascii="Tahoma" w:hAnsi="Tahoma" w:cs="Tahoma"/>
          <w:sz w:val="20"/>
          <w:szCs w:val="20"/>
        </w:rPr>
        <w:t>ενωσιακή</w:t>
      </w:r>
      <w:proofErr w:type="spellEnd"/>
      <w:r w:rsidR="00AF64AE" w:rsidRPr="00637C10">
        <w:rPr>
          <w:rFonts w:ascii="Tahoma" w:hAnsi="Tahoma" w:cs="Tahoma"/>
          <w:sz w:val="20"/>
          <w:szCs w:val="20"/>
        </w:rPr>
        <w:t xml:space="preserve"> χρηματοδότηση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w:t>
      </w:r>
      <w:proofErr w:type="spellStart"/>
      <w:r w:rsidR="00AF64AE" w:rsidRPr="00637C10">
        <w:rPr>
          <w:rFonts w:ascii="Tahoma" w:hAnsi="Tahoma" w:cs="Tahoma"/>
          <w:sz w:val="20"/>
          <w:szCs w:val="20"/>
        </w:rPr>
        <w:t>ενωσιακής</w:t>
      </w:r>
      <w:proofErr w:type="spellEnd"/>
      <w:r w:rsidR="00AF64AE" w:rsidRPr="00637C10">
        <w:rPr>
          <w:rFonts w:ascii="Tahoma" w:hAnsi="Tahoma" w:cs="Tahoma"/>
          <w:sz w:val="20"/>
          <w:szCs w:val="20"/>
        </w:rPr>
        <w:t xml:space="preserve"> νομοθεσίας·</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w:t>
      </w:r>
      <w:r w:rsidR="00AF64AE" w:rsidRPr="00637C10">
        <w:rPr>
          <w:rFonts w:ascii="Tahoma" w:hAnsi="Tahoma" w:cs="Tahoma"/>
          <w:sz w:val="20"/>
          <w:szCs w:val="20"/>
        </w:rPr>
        <w:t xml:space="preserve">ι απαλλασσόμενες ενισχύσεις μπορούν να σωρευθούν με οποιεσδήποτε άλλες κρατικές ενισχύσεις, εάν πρόκειται για διαφορετικές </w:t>
      </w:r>
      <w:proofErr w:type="spellStart"/>
      <w:r w:rsidR="00AF64AE" w:rsidRPr="00637C10">
        <w:rPr>
          <w:rFonts w:ascii="Tahoma" w:hAnsi="Tahoma" w:cs="Tahoma"/>
          <w:sz w:val="20"/>
          <w:szCs w:val="20"/>
        </w:rPr>
        <w:t>προσδιορίσιμες</w:t>
      </w:r>
      <w:proofErr w:type="spellEnd"/>
      <w:r w:rsidR="00AF64AE" w:rsidRPr="00637C10">
        <w:rPr>
          <w:rFonts w:ascii="Tahoma" w:hAnsi="Tahoma" w:cs="Tahoma"/>
          <w:sz w:val="20"/>
          <w:szCs w:val="20"/>
        </w:rPr>
        <w:t xml:space="preserve"> δαπάνες·</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Δ</w:t>
      </w:r>
      <w:r w:rsidR="00AF64AE" w:rsidRPr="00637C10">
        <w:rPr>
          <w:rFonts w:ascii="Tahoma" w:hAnsi="Tahoma" w:cs="Tahoma"/>
          <w:sz w:val="20"/>
          <w:szCs w:val="20"/>
        </w:rPr>
        <w:t>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lastRenderedPageBreak/>
        <w:t>Ο</w:t>
      </w:r>
      <w:r w:rsidR="00AF64AE" w:rsidRPr="00637C10">
        <w:rPr>
          <w:rFonts w:ascii="Tahoma" w:hAnsi="Tahoma" w:cs="Tahoma"/>
          <w:sz w:val="20"/>
          <w:szCs w:val="20"/>
        </w:rPr>
        <w:t>ι κρατικές ενισχύσεις που τυγχάνουν απαλλαγής δυνάμει του ΓΑΚ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ΓΑΚ.</w:t>
      </w:r>
    </w:p>
    <w:p w:rsidR="00AF64AE" w:rsidRPr="00637C10" w:rsidRDefault="00AF64AE" w:rsidP="00B01889">
      <w:pPr>
        <w:spacing w:after="120" w:line="240" w:lineRule="auto"/>
        <w:ind w:left="360"/>
        <w:jc w:val="both"/>
        <w:rPr>
          <w:rFonts w:ascii="Tahoma" w:hAnsi="Tahoma" w:cs="Tahoma"/>
          <w:sz w:val="20"/>
          <w:szCs w:val="20"/>
        </w:rPr>
      </w:pPr>
      <w:r w:rsidRPr="00637C10">
        <w:rPr>
          <w:rFonts w:ascii="Tahoma" w:hAnsi="Tahoma" w:cs="Tahoma"/>
          <w:sz w:val="20"/>
          <w:szCs w:val="20"/>
        </w:rPr>
        <w:t>Οι ανωτέρω υποχρεώσεις θα επιβεβαιώνονται κατά την αξιολόγηση των προτάσεων και την καταβολή των ενισχύσεων.</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Δημοσίευση και πληροφορίες - Υποβολή εκθέσεων</w:t>
      </w:r>
    </w:p>
    <w:p w:rsidR="00AF64AE" w:rsidRPr="00637C10" w:rsidRDefault="00AF64AE" w:rsidP="00F001F1">
      <w:pPr>
        <w:spacing w:after="120" w:line="240" w:lineRule="auto"/>
        <w:ind w:left="425"/>
        <w:jc w:val="both"/>
        <w:rPr>
          <w:rFonts w:ascii="Tahoma" w:hAnsi="Tahoma" w:cs="Tahoma"/>
          <w:sz w:val="20"/>
          <w:szCs w:val="20"/>
        </w:rPr>
      </w:pPr>
      <w:r w:rsidRPr="00637C10">
        <w:rPr>
          <w:rFonts w:ascii="Tahoma" w:hAnsi="Tahoma" w:cs="Tahoma"/>
          <w:sz w:val="20"/>
          <w:szCs w:val="20"/>
        </w:rPr>
        <w:t xml:space="preserve">Η </w:t>
      </w:r>
      <w:r w:rsidR="00EC0C03" w:rsidRPr="00637C10">
        <w:rPr>
          <w:rFonts w:ascii="Tahoma" w:hAnsi="Tahoma" w:cs="Tahoma"/>
          <w:sz w:val="20"/>
          <w:szCs w:val="20"/>
        </w:rPr>
        <w:t>Δ.Α.</w:t>
      </w:r>
      <w:r w:rsidRPr="00637C10">
        <w:rPr>
          <w:rFonts w:ascii="Tahoma" w:hAnsi="Tahoma" w:cs="Tahoma"/>
          <w:sz w:val="20"/>
          <w:szCs w:val="20"/>
        </w:rPr>
        <w:t xml:space="preserve"> έχει υποχρέωση</w:t>
      </w:r>
      <w:r w:rsidR="00791D55" w:rsidRPr="00637C10">
        <w:rPr>
          <w:rFonts w:ascii="Tahoma" w:hAnsi="Tahoma" w:cs="Tahoma"/>
          <w:sz w:val="20"/>
          <w:szCs w:val="20"/>
        </w:rPr>
        <w:t xml:space="preserve"> δημοσίευσης στο </w:t>
      </w:r>
      <w:r w:rsidRPr="00637C10">
        <w:rPr>
          <w:rFonts w:ascii="Tahoma" w:hAnsi="Tahoma" w:cs="Tahoma"/>
          <w:sz w:val="20"/>
          <w:szCs w:val="20"/>
        </w:rPr>
        <w:t>δικτυακό τόπο για τις κρατικές ενισχύσεις, σε εθνικό ή περιφερειακό επίπεδο, τα εξής:</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α) συνοπτικές πληροφορίες ή σύνδεσμο που παρέχει πρόσβαση σε αυτές·</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β) το πλήρες κείμενο κάθε μέτρου ενίσχυσης ή σύνδεσμο που παρέχει πρόσβαση στο πλήρες κείμενο·</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γ) πληροφορίες για κάθε χορήγηση μεμονωμένης ενίσχυσης που υπερβαίνει τα 500 000 ευρώ.</w:t>
      </w:r>
    </w:p>
    <w:p w:rsidR="003549ED" w:rsidRDefault="00AF64AE" w:rsidP="00B01889">
      <w:pPr>
        <w:spacing w:after="120" w:line="240" w:lineRule="auto"/>
        <w:ind w:left="360"/>
        <w:jc w:val="both"/>
        <w:rPr>
          <w:rFonts w:ascii="Tahoma" w:hAnsi="Tahoma" w:cs="Tahoma"/>
          <w:sz w:val="20"/>
          <w:szCs w:val="20"/>
        </w:rPr>
      </w:pPr>
      <w:r w:rsidRPr="00637C10">
        <w:rPr>
          <w:rFonts w:ascii="Tahoma" w:hAnsi="Tahoma" w:cs="Tahoma"/>
          <w:sz w:val="20"/>
          <w:szCs w:val="20"/>
        </w:rPr>
        <w:t>Ο δικαιούχος έχει υποχρέωση να αποδεχθεί τη δημοσίευ</w:t>
      </w:r>
      <w:r w:rsidR="00C06212" w:rsidRPr="00637C10">
        <w:rPr>
          <w:rFonts w:ascii="Tahoma" w:hAnsi="Tahoma" w:cs="Tahoma"/>
          <w:sz w:val="20"/>
          <w:szCs w:val="20"/>
        </w:rPr>
        <w:t xml:space="preserve">ση των στοιχείων του σημείου γ) </w:t>
      </w:r>
    </w:p>
    <w:p w:rsidR="00147C71" w:rsidRDefault="00147C71" w:rsidP="00637C10">
      <w:pPr>
        <w:pStyle w:val="BodyText21"/>
        <w:spacing w:after="120" w:line="240" w:lineRule="auto"/>
        <w:ind w:right="26"/>
        <w:outlineLvl w:val="0"/>
        <w:rPr>
          <w:rFonts w:ascii="Tahoma" w:hAnsi="Tahoma" w:cs="Tahoma"/>
          <w:b/>
          <w:sz w:val="20"/>
        </w:rPr>
      </w:pPr>
    </w:p>
    <w:p w:rsidR="00313779" w:rsidRPr="00637C10" w:rsidRDefault="00313779" w:rsidP="00EE3B6F">
      <w:pPr>
        <w:pStyle w:val="BodyText21"/>
        <w:tabs>
          <w:tab w:val="left" w:pos="284"/>
        </w:tabs>
        <w:spacing w:after="120" w:line="240" w:lineRule="auto"/>
        <w:ind w:right="26"/>
        <w:outlineLvl w:val="0"/>
        <w:rPr>
          <w:rFonts w:ascii="Tahoma" w:hAnsi="Tahoma" w:cs="Tahoma"/>
          <w:b/>
          <w:sz w:val="20"/>
        </w:rPr>
      </w:pPr>
      <w:r w:rsidRPr="00637C10">
        <w:rPr>
          <w:rFonts w:ascii="Tahoma" w:hAnsi="Tahoma" w:cs="Tahoma"/>
          <w:b/>
          <w:sz w:val="20"/>
        </w:rPr>
        <w:t xml:space="preserve">Β. </w:t>
      </w:r>
      <w:r w:rsidR="00F001F1">
        <w:rPr>
          <w:rFonts w:ascii="Tahoma" w:hAnsi="Tahoma" w:cs="Tahoma"/>
          <w:b/>
          <w:sz w:val="20"/>
        </w:rPr>
        <w:tab/>
      </w:r>
      <w:r w:rsidRPr="00637C10">
        <w:rPr>
          <w:rFonts w:ascii="Tahoma" w:hAnsi="Tahoma" w:cs="Tahoma"/>
          <w:b/>
          <w:sz w:val="20"/>
        </w:rPr>
        <w:t>Υποχρεώσεις Ειδικού μέρους του ΓΑΚ</w:t>
      </w:r>
    </w:p>
    <w:p w:rsidR="00416DD6" w:rsidRDefault="00CA39AE" w:rsidP="00EE3B6F">
      <w:pPr>
        <w:tabs>
          <w:tab w:val="left" w:pos="284"/>
        </w:tabs>
        <w:spacing w:after="120" w:line="240" w:lineRule="auto"/>
        <w:ind w:left="284"/>
        <w:jc w:val="both"/>
        <w:rPr>
          <w:rFonts w:ascii="Tahoma" w:hAnsi="Tahoma" w:cs="Tahoma"/>
          <w:sz w:val="20"/>
          <w:szCs w:val="20"/>
        </w:rPr>
      </w:pPr>
      <w:r w:rsidRPr="00637C10">
        <w:rPr>
          <w:rFonts w:ascii="Tahoma" w:hAnsi="Tahoma" w:cs="Tahoma"/>
          <w:sz w:val="20"/>
          <w:szCs w:val="20"/>
        </w:rPr>
        <w:t xml:space="preserve">Πρέπει να τηρούνται </w:t>
      </w:r>
      <w:r w:rsidR="00C06212" w:rsidRPr="00637C10">
        <w:rPr>
          <w:rFonts w:ascii="Tahoma" w:hAnsi="Tahoma" w:cs="Tahoma"/>
          <w:sz w:val="20"/>
          <w:szCs w:val="20"/>
        </w:rPr>
        <w:t>ο</w:t>
      </w:r>
      <w:r w:rsidR="00C77FBA" w:rsidRPr="00637C10">
        <w:rPr>
          <w:rFonts w:ascii="Tahoma" w:hAnsi="Tahoma" w:cs="Tahoma"/>
          <w:sz w:val="20"/>
          <w:szCs w:val="20"/>
        </w:rPr>
        <w:t xml:space="preserve">ι </w:t>
      </w:r>
      <w:r w:rsidR="00416DD6">
        <w:rPr>
          <w:rFonts w:ascii="Tahoma" w:hAnsi="Tahoma" w:cs="Tahoma"/>
          <w:sz w:val="20"/>
          <w:szCs w:val="20"/>
        </w:rPr>
        <w:t xml:space="preserve">ακόλουθες </w:t>
      </w:r>
      <w:r w:rsidR="00C77FBA" w:rsidRPr="00637C10">
        <w:rPr>
          <w:rFonts w:ascii="Tahoma" w:hAnsi="Tahoma" w:cs="Tahoma"/>
          <w:sz w:val="20"/>
          <w:szCs w:val="20"/>
        </w:rPr>
        <w:t xml:space="preserve">προϋποθέσεις που πηγάζουν από τις διατάξεις των </w:t>
      </w:r>
      <w:r w:rsidR="007E6B12">
        <w:rPr>
          <w:rFonts w:ascii="Tahoma" w:hAnsi="Tahoma" w:cs="Tahoma"/>
          <w:sz w:val="20"/>
          <w:szCs w:val="20"/>
        </w:rPr>
        <w:t>κατά περίπτωση εφαρμοστέων ειδικών διατάξεων ανά κατηγορία ενισχύσεων (Κεφάλαιο ΙΙΙ) του ΓΑΚ.</w:t>
      </w:r>
    </w:p>
    <w:p w:rsidR="002D242C" w:rsidRPr="00BB3204" w:rsidRDefault="002D242C" w:rsidP="007E6B12">
      <w:pPr>
        <w:spacing w:before="240" w:after="120" w:line="240" w:lineRule="auto"/>
        <w:ind w:left="284"/>
        <w:jc w:val="both"/>
        <w:rPr>
          <w:rFonts w:ascii="Tahoma" w:hAnsi="Tahoma" w:cs="Tahoma"/>
          <w:b/>
          <w:sz w:val="20"/>
          <w:szCs w:val="20"/>
          <w:u w:val="single"/>
        </w:rPr>
      </w:pPr>
      <w:r w:rsidRPr="00BB3204">
        <w:rPr>
          <w:rFonts w:ascii="Tahoma" w:hAnsi="Tahoma" w:cs="Tahoma"/>
          <w:b/>
          <w:sz w:val="20"/>
          <w:szCs w:val="20"/>
          <w:u w:val="single"/>
        </w:rPr>
        <w:t>Επενδυτικές ενισχύσεις για την προώθηση της παραγωγής ενέργειας από ανανεώσιμες πηγές</w:t>
      </w:r>
    </w:p>
    <w:p w:rsidR="002D242C" w:rsidRPr="00EE3B6F" w:rsidRDefault="002D242C" w:rsidP="00EE3B6F">
      <w:pPr>
        <w:autoSpaceDE w:val="0"/>
        <w:autoSpaceDN w:val="0"/>
        <w:adjustRightInd w:val="0"/>
        <w:spacing w:after="120" w:line="240" w:lineRule="auto"/>
        <w:ind w:left="284"/>
        <w:jc w:val="both"/>
        <w:rPr>
          <w:rFonts w:ascii="Tahoma" w:hAnsi="Tahoma" w:cs="Tahoma"/>
          <w:sz w:val="20"/>
          <w:szCs w:val="20"/>
        </w:rPr>
      </w:pPr>
      <w:r w:rsidRPr="00464A20">
        <w:rPr>
          <w:rFonts w:ascii="Tahoma" w:hAnsi="Tahoma" w:cs="Tahoma"/>
          <w:sz w:val="20"/>
          <w:szCs w:val="20"/>
        </w:rPr>
        <w:t xml:space="preserve">Οι επενδυτικές ενισχύσεις για την προώθηση της παραγωγής ενέργειας από ανανεώσιμες πηγές συμβιβάζονται με την εσωτερική αγορά και απαλλάσσονται από την υποχρέωση κοινοποίησης, εφόσον πληρούνται οι </w:t>
      </w:r>
      <w:r>
        <w:rPr>
          <w:rFonts w:ascii="Tahoma" w:hAnsi="Tahoma" w:cs="Tahoma"/>
          <w:sz w:val="20"/>
          <w:szCs w:val="20"/>
        </w:rPr>
        <w:t xml:space="preserve">προαναφερθείσες </w:t>
      </w:r>
      <w:r w:rsidRPr="00464A20">
        <w:rPr>
          <w:rFonts w:ascii="Tahoma" w:hAnsi="Tahoma" w:cs="Tahoma"/>
          <w:sz w:val="20"/>
          <w:szCs w:val="20"/>
        </w:rPr>
        <w:t xml:space="preserve">προϋποθέσεις του </w:t>
      </w:r>
      <w:r w:rsidR="007750AF">
        <w:rPr>
          <w:rFonts w:ascii="Tahoma" w:hAnsi="Tahoma" w:cs="Tahoma"/>
          <w:sz w:val="20"/>
          <w:szCs w:val="20"/>
        </w:rPr>
        <w:t>Γενικού Μέρους (Κεφάλαιο Ι)</w:t>
      </w:r>
      <w:r>
        <w:rPr>
          <w:rFonts w:ascii="Tahoma" w:hAnsi="Tahoma" w:cs="Tahoma"/>
          <w:sz w:val="20"/>
          <w:szCs w:val="20"/>
        </w:rPr>
        <w:t xml:space="preserve"> του ΓΑΚ και</w:t>
      </w:r>
      <w:r w:rsidRPr="00EC389E">
        <w:rPr>
          <w:rFonts w:ascii="Tahoma" w:hAnsi="Tahoma" w:cs="Tahoma"/>
          <w:sz w:val="20"/>
          <w:szCs w:val="20"/>
        </w:rPr>
        <w:t xml:space="preserve"> </w:t>
      </w:r>
      <w:r>
        <w:rPr>
          <w:rFonts w:ascii="Tahoma" w:hAnsi="Tahoma" w:cs="Tahoma"/>
          <w:sz w:val="20"/>
          <w:szCs w:val="20"/>
        </w:rPr>
        <w:t xml:space="preserve">οι παρακάτω προϋποθέσεις </w:t>
      </w:r>
      <w:r w:rsidRPr="00464A20">
        <w:rPr>
          <w:rFonts w:ascii="Tahoma" w:hAnsi="Tahoma" w:cs="Tahoma"/>
          <w:sz w:val="20"/>
          <w:szCs w:val="20"/>
        </w:rPr>
        <w:t xml:space="preserve">του άρθρου 41 </w:t>
      </w:r>
      <w:r>
        <w:rPr>
          <w:rFonts w:ascii="Tahoma" w:hAnsi="Tahoma" w:cs="Tahoma"/>
          <w:sz w:val="20"/>
          <w:szCs w:val="20"/>
        </w:rPr>
        <w:t>του ΓΑΚ</w:t>
      </w:r>
      <w:r w:rsidRPr="00EC389E">
        <w:rPr>
          <w:rFonts w:ascii="Tahoma" w:hAnsi="Tahoma" w:cs="Tahoma"/>
          <w:sz w:val="20"/>
          <w:szCs w:val="20"/>
        </w:rPr>
        <w:t>:</w:t>
      </w:r>
    </w:p>
    <w:p w:rsidR="00721991" w:rsidRPr="00472F12" w:rsidRDefault="00721991" w:rsidP="00B8485F">
      <w:pPr>
        <w:numPr>
          <w:ilvl w:val="0"/>
          <w:numId w:val="3"/>
        </w:numPr>
        <w:tabs>
          <w:tab w:val="left" w:pos="567"/>
        </w:tabs>
        <w:autoSpaceDE w:val="0"/>
        <w:autoSpaceDN w:val="0"/>
        <w:adjustRightInd w:val="0"/>
        <w:spacing w:after="120" w:line="240" w:lineRule="auto"/>
        <w:ind w:left="567" w:hanging="283"/>
        <w:jc w:val="both"/>
        <w:rPr>
          <w:rFonts w:ascii="Tahoma" w:hAnsi="Tahoma" w:cs="Tahoma"/>
          <w:sz w:val="20"/>
          <w:szCs w:val="20"/>
          <w:u w:val="single"/>
        </w:rPr>
      </w:pPr>
      <w:proofErr w:type="spellStart"/>
      <w:r w:rsidRPr="00472F12">
        <w:rPr>
          <w:rFonts w:ascii="Tahoma" w:hAnsi="Tahoma" w:cs="Tahoma"/>
          <w:sz w:val="20"/>
          <w:szCs w:val="20"/>
          <w:u w:val="single"/>
        </w:rPr>
        <w:t>Επιλεξιμότητα</w:t>
      </w:r>
      <w:proofErr w:type="spellEnd"/>
      <w:r w:rsidRPr="00472F12">
        <w:rPr>
          <w:rFonts w:ascii="Tahoma" w:hAnsi="Tahoma" w:cs="Tahoma"/>
          <w:sz w:val="20"/>
          <w:szCs w:val="20"/>
          <w:u w:val="single"/>
        </w:rPr>
        <w:t xml:space="preserve"> επενδύσεων</w:t>
      </w:r>
    </w:p>
    <w:p w:rsidR="002D242C" w:rsidRPr="00576EB5" w:rsidRDefault="002D242C" w:rsidP="00B8485F">
      <w:pPr>
        <w:tabs>
          <w:tab w:val="left" w:pos="567"/>
        </w:tabs>
        <w:autoSpaceDE w:val="0"/>
        <w:autoSpaceDN w:val="0"/>
        <w:adjustRightInd w:val="0"/>
        <w:spacing w:after="120" w:line="240" w:lineRule="auto"/>
        <w:ind w:left="567"/>
        <w:jc w:val="both"/>
        <w:rPr>
          <w:rFonts w:ascii="Tahoma" w:hAnsi="Tahoma" w:cs="Tahoma"/>
          <w:sz w:val="20"/>
          <w:szCs w:val="20"/>
        </w:rPr>
      </w:pPr>
      <w:r w:rsidRPr="00576EB5">
        <w:rPr>
          <w:rFonts w:ascii="Tahoma" w:hAnsi="Tahoma" w:cs="Tahoma"/>
          <w:sz w:val="20"/>
          <w:szCs w:val="20"/>
        </w:rPr>
        <w:t>Οι επενδυτικές ενισχύσεις χορηγούνται μόνο σε νέες εγκαταστάσεις. Καμία ενίσχυση δεν χορηγείται ούτε καταβάλλεται μετά την έναρξη λειτουργίας της εγκατάστασης και η ενίσχυση είναι ανεξάρτητη από την παραγωγή.</w:t>
      </w:r>
    </w:p>
    <w:p w:rsidR="00576EB5" w:rsidRPr="00D157BA" w:rsidRDefault="002D242C" w:rsidP="00B8485F">
      <w:pPr>
        <w:numPr>
          <w:ilvl w:val="0"/>
          <w:numId w:val="3"/>
        </w:numPr>
        <w:tabs>
          <w:tab w:val="left" w:pos="567"/>
        </w:tabs>
        <w:autoSpaceDE w:val="0"/>
        <w:autoSpaceDN w:val="0"/>
        <w:adjustRightInd w:val="0"/>
        <w:spacing w:after="120" w:line="240" w:lineRule="auto"/>
        <w:ind w:left="567" w:hanging="283"/>
        <w:jc w:val="both"/>
        <w:rPr>
          <w:rFonts w:ascii="Tahoma" w:hAnsi="Tahoma" w:cs="Tahoma"/>
          <w:sz w:val="20"/>
          <w:szCs w:val="20"/>
          <w:u w:val="single"/>
        </w:rPr>
      </w:pPr>
      <w:r w:rsidRPr="00576EB5">
        <w:rPr>
          <w:rFonts w:ascii="Tahoma" w:hAnsi="Tahoma" w:cs="Tahoma"/>
          <w:sz w:val="20"/>
          <w:szCs w:val="20"/>
          <w:u w:val="single"/>
        </w:rPr>
        <w:t>Επιλέξιμες δαπάνες</w:t>
      </w:r>
    </w:p>
    <w:p w:rsidR="002D242C" w:rsidRPr="00D157BA" w:rsidRDefault="008E06CA" w:rsidP="00B8485F">
      <w:pPr>
        <w:tabs>
          <w:tab w:val="left" w:pos="567"/>
        </w:tabs>
        <w:autoSpaceDE w:val="0"/>
        <w:autoSpaceDN w:val="0"/>
        <w:adjustRightInd w:val="0"/>
        <w:spacing w:after="120" w:line="240" w:lineRule="auto"/>
        <w:ind w:left="567"/>
        <w:jc w:val="both"/>
        <w:rPr>
          <w:rFonts w:ascii="Tahoma" w:hAnsi="Tahoma" w:cs="Tahoma"/>
          <w:sz w:val="20"/>
          <w:szCs w:val="20"/>
        </w:rPr>
      </w:pPr>
      <w:r>
        <w:rPr>
          <w:rFonts w:ascii="Tahoma" w:hAnsi="Tahoma" w:cs="Tahoma"/>
          <w:sz w:val="20"/>
          <w:szCs w:val="20"/>
        </w:rPr>
        <w:t xml:space="preserve">Επιλέξιμες είναι οι </w:t>
      </w:r>
      <w:r w:rsidR="002D242C" w:rsidRPr="00464A20">
        <w:rPr>
          <w:rFonts w:ascii="Tahoma" w:hAnsi="Tahoma" w:cs="Tahoma"/>
          <w:sz w:val="20"/>
          <w:szCs w:val="20"/>
        </w:rPr>
        <w:t xml:space="preserve">πρόσθετες επενδυτικές δαπάνες που είναι απαραίτητες για την προώθηση της παραγωγής ενέργειας από ανανεώσιμες πηγές. Οι δαπάνες αυτές καθορίζονται ως εξής: </w:t>
      </w:r>
    </w:p>
    <w:p w:rsidR="002D242C" w:rsidRPr="00D157BA" w:rsidRDefault="002D242C" w:rsidP="00B8485F">
      <w:pPr>
        <w:tabs>
          <w:tab w:val="left" w:pos="567"/>
        </w:tabs>
        <w:autoSpaceDE w:val="0"/>
        <w:autoSpaceDN w:val="0"/>
        <w:adjustRightInd w:val="0"/>
        <w:spacing w:after="120" w:line="240" w:lineRule="auto"/>
        <w:ind w:left="567"/>
        <w:jc w:val="both"/>
        <w:rPr>
          <w:rFonts w:ascii="Tahoma" w:hAnsi="Tahoma" w:cs="Tahoma"/>
          <w:sz w:val="20"/>
          <w:szCs w:val="20"/>
        </w:rPr>
      </w:pPr>
      <w:r w:rsidRPr="00464A20">
        <w:rPr>
          <w:rFonts w:ascii="Tahoma" w:hAnsi="Tahoma" w:cs="Tahoma"/>
          <w:sz w:val="20"/>
          <w:szCs w:val="20"/>
        </w:rPr>
        <w:t xml:space="preserve">α) όταν το κόστος της επένδυσης για την παραγωγή ενέργειας από ανανεώσιμες πηγές μπορεί να προσδιοριστεί στο συνολικό επενδυτικό κόστος ως χωριστή επένδυση, για παράδειγμα ως εύκολα </w:t>
      </w:r>
      <w:proofErr w:type="spellStart"/>
      <w:r w:rsidRPr="00464A20">
        <w:rPr>
          <w:rFonts w:ascii="Tahoma" w:hAnsi="Tahoma" w:cs="Tahoma"/>
          <w:sz w:val="20"/>
          <w:szCs w:val="20"/>
        </w:rPr>
        <w:t>προσδιορίσιμο</w:t>
      </w:r>
      <w:proofErr w:type="spellEnd"/>
      <w:r w:rsidRPr="00464A20">
        <w:rPr>
          <w:rFonts w:ascii="Tahoma" w:hAnsi="Tahoma" w:cs="Tahoma"/>
          <w:sz w:val="20"/>
          <w:szCs w:val="20"/>
        </w:rPr>
        <w:t xml:space="preserve"> πρόσθετο κατασκευαστικό στοιχείο σε προϋφιστάμενη εγκατάσταση, αυτό το κόστος που σχετίζεται με την ενέργεια από ανανεώσιμες πηγές συνιστά τις επιλέξιμες δαπάνες</w:t>
      </w:r>
    </w:p>
    <w:p w:rsidR="002D242C" w:rsidRPr="005703E3" w:rsidRDefault="002D242C" w:rsidP="00B8485F">
      <w:pPr>
        <w:tabs>
          <w:tab w:val="left" w:pos="567"/>
        </w:tabs>
        <w:autoSpaceDE w:val="0"/>
        <w:autoSpaceDN w:val="0"/>
        <w:adjustRightInd w:val="0"/>
        <w:spacing w:after="120" w:line="240" w:lineRule="auto"/>
        <w:ind w:left="567"/>
        <w:jc w:val="both"/>
        <w:rPr>
          <w:rFonts w:ascii="Tahoma" w:hAnsi="Tahoma" w:cs="Tahoma"/>
          <w:sz w:val="20"/>
          <w:szCs w:val="20"/>
        </w:rPr>
      </w:pPr>
      <w:r w:rsidRPr="005703E3">
        <w:rPr>
          <w:rFonts w:ascii="Tahoma" w:hAnsi="Tahoma" w:cs="Tahoma"/>
          <w:sz w:val="20"/>
          <w:szCs w:val="20"/>
        </w:rPr>
        <w:t xml:space="preserve">β) όταν το κόστος της επένδυσης για την παραγωγή ενέργειας από ανανεώσιμες πηγές μπορεί να προσδιοριστεί με βάση παρόμοια, λιγότερο φιλική προς το περιβάλλον επένδυση, που θα μπορούσε προφανώς να πραγματοποιηθεί χωρίς την ενίσχυση, η διαφορά αυτή μεταξύ του κόστους των δύο επενδύσεων προσδιορίζει το κόστος που συνδέεται με την παραγωγή ενέργειας από ανανεώσιμες πηγές και συνιστά τις επιλέξιμες δαπάνες· </w:t>
      </w:r>
    </w:p>
    <w:p w:rsidR="002D242C" w:rsidRDefault="002D242C" w:rsidP="00B8485F">
      <w:pPr>
        <w:tabs>
          <w:tab w:val="left" w:pos="567"/>
        </w:tabs>
        <w:autoSpaceDE w:val="0"/>
        <w:autoSpaceDN w:val="0"/>
        <w:adjustRightInd w:val="0"/>
        <w:spacing w:after="120" w:line="240" w:lineRule="auto"/>
        <w:ind w:left="567"/>
        <w:jc w:val="both"/>
        <w:rPr>
          <w:rFonts w:ascii="Tahoma" w:hAnsi="Tahoma" w:cs="Tahoma"/>
          <w:sz w:val="20"/>
          <w:szCs w:val="20"/>
        </w:rPr>
      </w:pPr>
      <w:r w:rsidRPr="005703E3">
        <w:rPr>
          <w:rFonts w:ascii="Tahoma" w:hAnsi="Tahoma" w:cs="Tahoma"/>
          <w:sz w:val="20"/>
          <w:szCs w:val="20"/>
        </w:rPr>
        <w:t xml:space="preserve">γ) για ορισμένες μικρές εγκαταστάσεις όπου δεν μπορεί να καθοριστεί λιγότερο φιλική προς το περιβάλλον επένδυση, δεδομένου ότι δεν υπάρχουν μονάδες παραγωγής περιορισμένου μεγέθους, το συνολικό κόστος της επένδυσης για την επίτευξη υψηλότερου επιπέδου προστασίας του περιβάλλοντος συνιστά τις επιλέξιμες δαπάνες. </w:t>
      </w:r>
    </w:p>
    <w:p w:rsidR="00576EB5" w:rsidRDefault="002D242C" w:rsidP="00B8485F">
      <w:pPr>
        <w:numPr>
          <w:ilvl w:val="0"/>
          <w:numId w:val="3"/>
        </w:numPr>
        <w:tabs>
          <w:tab w:val="left" w:pos="567"/>
        </w:tabs>
        <w:autoSpaceDE w:val="0"/>
        <w:autoSpaceDN w:val="0"/>
        <w:adjustRightInd w:val="0"/>
        <w:spacing w:after="120" w:line="240" w:lineRule="auto"/>
        <w:ind w:left="567" w:hanging="283"/>
        <w:jc w:val="both"/>
        <w:rPr>
          <w:rFonts w:ascii="Tahoma" w:hAnsi="Tahoma" w:cs="Tahoma"/>
          <w:sz w:val="20"/>
          <w:szCs w:val="20"/>
          <w:u w:val="single"/>
        </w:rPr>
      </w:pPr>
      <w:r w:rsidRPr="00576EB5">
        <w:rPr>
          <w:rFonts w:ascii="Tahoma" w:hAnsi="Tahoma" w:cs="Tahoma"/>
          <w:sz w:val="20"/>
          <w:szCs w:val="20"/>
          <w:u w:val="single"/>
        </w:rPr>
        <w:t xml:space="preserve">Μη επιλέξιμες δαπάνες: </w:t>
      </w:r>
    </w:p>
    <w:p w:rsidR="002D242C" w:rsidRPr="00576EB5" w:rsidRDefault="00C75C9E" w:rsidP="00B8485F">
      <w:pPr>
        <w:tabs>
          <w:tab w:val="left" w:pos="567"/>
        </w:tabs>
        <w:autoSpaceDE w:val="0"/>
        <w:autoSpaceDN w:val="0"/>
        <w:adjustRightInd w:val="0"/>
        <w:spacing w:after="120" w:line="240" w:lineRule="auto"/>
        <w:ind w:left="567"/>
        <w:jc w:val="both"/>
        <w:rPr>
          <w:rFonts w:ascii="Tahoma" w:hAnsi="Tahoma" w:cs="Tahoma"/>
          <w:sz w:val="20"/>
          <w:szCs w:val="20"/>
        </w:rPr>
      </w:pPr>
      <w:r>
        <w:rPr>
          <w:rFonts w:ascii="Tahoma" w:hAnsi="Tahoma" w:cs="Tahoma"/>
          <w:sz w:val="20"/>
          <w:szCs w:val="20"/>
        </w:rPr>
        <w:t>Μη επιλέξιμες είναι ο</w:t>
      </w:r>
      <w:r w:rsidR="002D242C" w:rsidRPr="00576EB5">
        <w:rPr>
          <w:rFonts w:ascii="Tahoma" w:hAnsi="Tahoma" w:cs="Tahoma"/>
          <w:sz w:val="20"/>
          <w:szCs w:val="20"/>
        </w:rPr>
        <w:t xml:space="preserve">ι δαπάνες που δεν συνδέονται άμεσα με την επίτευξη υψηλότερου επιπέδου προστασίας του περιβάλλοντος. </w:t>
      </w:r>
    </w:p>
    <w:p w:rsidR="00576EB5" w:rsidRDefault="00576EB5" w:rsidP="00B8485F">
      <w:pPr>
        <w:numPr>
          <w:ilvl w:val="0"/>
          <w:numId w:val="3"/>
        </w:numPr>
        <w:tabs>
          <w:tab w:val="left" w:pos="567"/>
        </w:tabs>
        <w:autoSpaceDE w:val="0"/>
        <w:autoSpaceDN w:val="0"/>
        <w:adjustRightInd w:val="0"/>
        <w:spacing w:after="120" w:line="240" w:lineRule="auto"/>
        <w:ind w:left="567" w:hanging="283"/>
        <w:jc w:val="both"/>
        <w:rPr>
          <w:rFonts w:ascii="Tahoma" w:hAnsi="Tahoma" w:cs="Tahoma"/>
          <w:sz w:val="20"/>
          <w:szCs w:val="20"/>
          <w:u w:val="single"/>
        </w:rPr>
      </w:pPr>
      <w:r>
        <w:rPr>
          <w:rFonts w:ascii="Tahoma" w:hAnsi="Tahoma" w:cs="Tahoma"/>
          <w:sz w:val="20"/>
          <w:szCs w:val="20"/>
          <w:u w:val="single"/>
        </w:rPr>
        <w:lastRenderedPageBreak/>
        <w:t>Η ένταση της ενίσχυσης:</w:t>
      </w:r>
    </w:p>
    <w:p w:rsidR="002D242C" w:rsidRPr="00620AA0" w:rsidRDefault="00620AA0" w:rsidP="00B8485F">
      <w:pPr>
        <w:pStyle w:val="a6"/>
        <w:numPr>
          <w:ilvl w:val="0"/>
          <w:numId w:val="26"/>
        </w:numPr>
        <w:tabs>
          <w:tab w:val="left" w:pos="851"/>
        </w:tabs>
        <w:autoSpaceDE w:val="0"/>
        <w:autoSpaceDN w:val="0"/>
        <w:adjustRightInd w:val="0"/>
        <w:spacing w:after="120" w:line="240" w:lineRule="auto"/>
        <w:ind w:left="851" w:hanging="284"/>
        <w:contextualSpacing w:val="0"/>
        <w:jc w:val="both"/>
        <w:rPr>
          <w:rFonts w:ascii="Tahoma" w:hAnsi="Tahoma" w:cs="Tahoma"/>
          <w:sz w:val="20"/>
          <w:szCs w:val="20"/>
        </w:rPr>
      </w:pPr>
      <w:r w:rsidRPr="00620AA0">
        <w:rPr>
          <w:rFonts w:ascii="Tahoma" w:hAnsi="Tahoma" w:cs="Tahoma"/>
          <w:sz w:val="20"/>
          <w:szCs w:val="20"/>
        </w:rPr>
        <w:t xml:space="preserve">δεν υπερβαίνει </w:t>
      </w:r>
      <w:r w:rsidR="002D242C" w:rsidRPr="00620AA0">
        <w:rPr>
          <w:rFonts w:ascii="Tahoma" w:hAnsi="Tahoma" w:cs="Tahoma"/>
          <w:sz w:val="20"/>
          <w:szCs w:val="20"/>
        </w:rPr>
        <w:t xml:space="preserve"> το 45 % των επιλέξιμων δαπανών, εάν οι επιλέξιμες δαπάνες υπολογίζονται με βάση το στοιχείο α) ή β) ανωτέρω· </w:t>
      </w:r>
    </w:p>
    <w:p w:rsidR="002D242C" w:rsidRPr="00F775E9" w:rsidRDefault="00620AA0" w:rsidP="00B8485F">
      <w:pPr>
        <w:pStyle w:val="a6"/>
        <w:numPr>
          <w:ilvl w:val="0"/>
          <w:numId w:val="26"/>
        </w:numPr>
        <w:tabs>
          <w:tab w:val="left" w:pos="851"/>
        </w:tabs>
        <w:autoSpaceDE w:val="0"/>
        <w:autoSpaceDN w:val="0"/>
        <w:adjustRightInd w:val="0"/>
        <w:spacing w:after="120" w:line="240" w:lineRule="auto"/>
        <w:ind w:left="851" w:hanging="284"/>
        <w:contextualSpacing w:val="0"/>
        <w:jc w:val="both"/>
        <w:rPr>
          <w:rFonts w:ascii="Tahoma" w:hAnsi="Tahoma" w:cs="Tahoma"/>
          <w:sz w:val="20"/>
          <w:szCs w:val="20"/>
        </w:rPr>
      </w:pPr>
      <w:r w:rsidRPr="00620AA0">
        <w:rPr>
          <w:rFonts w:ascii="Tahoma" w:hAnsi="Tahoma" w:cs="Tahoma"/>
          <w:sz w:val="20"/>
          <w:szCs w:val="20"/>
        </w:rPr>
        <w:t xml:space="preserve">δεν υπερβαίνει  το </w:t>
      </w:r>
      <w:r w:rsidR="002D242C" w:rsidRPr="00F775E9">
        <w:rPr>
          <w:rFonts w:ascii="Tahoma" w:hAnsi="Tahoma" w:cs="Tahoma"/>
          <w:sz w:val="20"/>
          <w:szCs w:val="20"/>
        </w:rPr>
        <w:t xml:space="preserve">30 % των επιλέξιμων δαπανών, εάν οι επιλέξιμες δαπάνες υπολογίζονται με βάση το στοιχείο γ) ανωτέρω. </w:t>
      </w:r>
    </w:p>
    <w:p w:rsidR="002D242C" w:rsidRDefault="002D242C" w:rsidP="00B8485F">
      <w:pPr>
        <w:pStyle w:val="a6"/>
        <w:numPr>
          <w:ilvl w:val="0"/>
          <w:numId w:val="26"/>
        </w:numPr>
        <w:tabs>
          <w:tab w:val="left" w:pos="851"/>
        </w:tabs>
        <w:autoSpaceDE w:val="0"/>
        <w:autoSpaceDN w:val="0"/>
        <w:adjustRightInd w:val="0"/>
        <w:spacing w:after="120" w:line="240" w:lineRule="auto"/>
        <w:ind w:left="851" w:hanging="284"/>
        <w:contextualSpacing w:val="0"/>
        <w:jc w:val="both"/>
        <w:rPr>
          <w:rFonts w:ascii="Tahoma" w:hAnsi="Tahoma" w:cs="Tahoma"/>
          <w:sz w:val="20"/>
          <w:szCs w:val="20"/>
        </w:rPr>
      </w:pPr>
      <w:r w:rsidRPr="00A74467">
        <w:rPr>
          <w:rFonts w:ascii="Tahoma" w:hAnsi="Tahoma" w:cs="Tahoma"/>
          <w:sz w:val="20"/>
          <w:szCs w:val="20"/>
        </w:rPr>
        <w:t xml:space="preserve">μπορεί να αυξηθεί κατά 15% για επενδύσεις σε ενισχυόμενες περιοχές που πληρούν τις προϋποθέσεις του άρθρου 107 παράγραφος 3 στοιχείο α) της Συνθήκης και κατά 5% για τις επενδύσεις σε ενισχυόμενες περιοχές που πληρούν τις προϋποθέσεις του άρθρου 107 παράγραφος 3 στοιχείο γ) της Συνθήκης. </w:t>
      </w:r>
    </w:p>
    <w:p w:rsidR="002D242C" w:rsidRPr="00D157BA" w:rsidRDefault="00750F92" w:rsidP="00B8485F">
      <w:pPr>
        <w:pStyle w:val="a6"/>
        <w:numPr>
          <w:ilvl w:val="0"/>
          <w:numId w:val="26"/>
        </w:numPr>
        <w:tabs>
          <w:tab w:val="left" w:pos="851"/>
        </w:tabs>
        <w:autoSpaceDE w:val="0"/>
        <w:autoSpaceDN w:val="0"/>
        <w:adjustRightInd w:val="0"/>
        <w:spacing w:after="120" w:line="240" w:lineRule="auto"/>
        <w:ind w:left="851" w:hanging="284"/>
        <w:contextualSpacing w:val="0"/>
        <w:jc w:val="both"/>
        <w:rPr>
          <w:rFonts w:ascii="Tahoma" w:hAnsi="Tahoma" w:cs="Tahoma"/>
          <w:sz w:val="20"/>
          <w:szCs w:val="20"/>
        </w:rPr>
      </w:pPr>
      <w:r w:rsidRPr="00750F92">
        <w:rPr>
          <w:rFonts w:ascii="Tahoma" w:hAnsi="Tahoma" w:cs="Tahoma"/>
          <w:sz w:val="20"/>
          <w:szCs w:val="20"/>
        </w:rPr>
        <w:t xml:space="preserve">μπορεί να ανέλθει στο 100 % των επιλέξιμων δαπανών </w:t>
      </w:r>
      <w:r w:rsidRPr="00D157BA">
        <w:rPr>
          <w:rFonts w:ascii="Tahoma" w:hAnsi="Tahoma" w:cs="Tahoma"/>
          <w:sz w:val="20"/>
          <w:szCs w:val="20"/>
        </w:rPr>
        <w:t>s</w:t>
      </w:r>
      <w:r w:rsidR="002D242C" w:rsidRPr="00750F92">
        <w:rPr>
          <w:rFonts w:ascii="Tahoma" w:hAnsi="Tahoma" w:cs="Tahoma"/>
          <w:sz w:val="20"/>
          <w:szCs w:val="20"/>
        </w:rPr>
        <w:t>τις περιπτώσεις που η ενίσχυση χορηγείται στο πλαίσιο ανταγωνιστικής διαδικασίας υποβολής προσφορών βάσει σαφών, δια</w:t>
      </w:r>
      <w:r>
        <w:rPr>
          <w:rFonts w:ascii="Tahoma" w:hAnsi="Tahoma" w:cs="Tahoma"/>
          <w:sz w:val="20"/>
          <w:szCs w:val="20"/>
        </w:rPr>
        <w:t>φανών και αμερόληπτων κριτηρίων</w:t>
      </w:r>
      <w:r w:rsidR="002D242C" w:rsidRPr="00750F92">
        <w:rPr>
          <w:rFonts w:ascii="Tahoma" w:hAnsi="Tahoma" w:cs="Tahoma"/>
          <w:sz w:val="20"/>
          <w:szCs w:val="20"/>
        </w:rPr>
        <w:t xml:space="preserve">. </w:t>
      </w:r>
      <w:r w:rsidR="002D242C" w:rsidRPr="00D157BA">
        <w:rPr>
          <w:rFonts w:ascii="Tahoma" w:hAnsi="Tahoma" w:cs="Tahoma"/>
          <w:sz w:val="20"/>
          <w:szCs w:val="20"/>
        </w:rPr>
        <w:t>Η εν λόγω διαδικασία υποβολής προσφορών δεν πρέπει να εισάγει διακρίσεις και να προβλέπει τη συμμετοχή όλων των ενδιαφερομένων επιχειρήσεων. Ο προϋπολογισμός που συνδέεται με τη διαδικασία υποβολής προσφορών αποτελεί δεσμευτικό περιορισμό, με την έννοια ότι δεν μπορούν να λάβουν ενίσχυση όλοι οι συμμετέχοντες και η ενίσχυση χορηγείται βάσει της αρχικής προσφοράς του συμμετέχοντος, αποκλείοντας επομένως μεταγενέστερες διαπραγματεύσεις.</w:t>
      </w:r>
    </w:p>
    <w:p w:rsidR="002D242C" w:rsidRPr="00FF44A4" w:rsidRDefault="002D242C" w:rsidP="00750F92">
      <w:pPr>
        <w:spacing w:after="120" w:line="240" w:lineRule="auto"/>
        <w:ind w:left="284"/>
        <w:jc w:val="both"/>
        <w:rPr>
          <w:rFonts w:ascii="Tahoma" w:hAnsi="Tahoma" w:cs="Tahoma"/>
          <w:b/>
          <w:sz w:val="20"/>
          <w:szCs w:val="20"/>
          <w:u w:val="single"/>
        </w:rPr>
      </w:pPr>
      <w:r w:rsidRPr="00FF44A4">
        <w:rPr>
          <w:rFonts w:ascii="Tahoma" w:hAnsi="Tahoma" w:cs="Tahoma"/>
          <w:b/>
          <w:sz w:val="20"/>
          <w:szCs w:val="20"/>
          <w:u w:val="single"/>
        </w:rPr>
        <w:t xml:space="preserve">Επενδυτικές ενισχύσεις για ανακύκλωση και επαναχρησιμοποίηση αποβλήτων </w:t>
      </w:r>
    </w:p>
    <w:p w:rsidR="002D242C" w:rsidRPr="00750F92" w:rsidRDefault="002D242C" w:rsidP="00750F92">
      <w:pPr>
        <w:spacing w:after="120" w:line="240" w:lineRule="auto"/>
        <w:ind w:left="284"/>
        <w:jc w:val="both"/>
        <w:rPr>
          <w:rFonts w:ascii="Tahoma" w:hAnsi="Tahoma" w:cs="Tahoma"/>
          <w:sz w:val="20"/>
          <w:szCs w:val="20"/>
        </w:rPr>
      </w:pPr>
      <w:r w:rsidRPr="00750F92">
        <w:rPr>
          <w:rFonts w:ascii="Tahoma" w:hAnsi="Tahoma" w:cs="Tahoma"/>
          <w:sz w:val="20"/>
          <w:szCs w:val="20"/>
        </w:rPr>
        <w:t xml:space="preserve">Οι επενδυτικές ενισχύσεις για ανακύκλωση και επαναχρησιμοποίηση αποβλήτων συμβιβάζονται με την εσωτερική αγορά και απαλλάσσονται από την υποχρέωση κοινοποίησης, εφόσον πληρούνται οι προαναφερθείσες προϋποθέσεις </w:t>
      </w:r>
      <w:r w:rsidR="00D647E4" w:rsidRPr="00464A20">
        <w:rPr>
          <w:rFonts w:ascii="Tahoma" w:hAnsi="Tahoma" w:cs="Tahoma"/>
          <w:sz w:val="20"/>
          <w:szCs w:val="20"/>
        </w:rPr>
        <w:t xml:space="preserve">του </w:t>
      </w:r>
      <w:r w:rsidR="00D647E4">
        <w:rPr>
          <w:rFonts w:ascii="Tahoma" w:hAnsi="Tahoma" w:cs="Tahoma"/>
          <w:sz w:val="20"/>
          <w:szCs w:val="20"/>
        </w:rPr>
        <w:t xml:space="preserve">Γενικού Μέρους (Κεφάλαιο Ι) του ΓΑΚ </w:t>
      </w:r>
      <w:r w:rsidRPr="00750F92">
        <w:rPr>
          <w:rFonts w:ascii="Tahoma" w:hAnsi="Tahoma" w:cs="Tahoma"/>
          <w:sz w:val="20"/>
          <w:szCs w:val="20"/>
        </w:rPr>
        <w:t>και οι παρακάτω προϋποθέσεις του άρθρου 47 του ΓΑΚ.</w:t>
      </w:r>
    </w:p>
    <w:p w:rsidR="002D242C" w:rsidRPr="00472F12" w:rsidRDefault="002D242C" w:rsidP="00E34984">
      <w:pPr>
        <w:numPr>
          <w:ilvl w:val="0"/>
          <w:numId w:val="3"/>
        </w:numPr>
        <w:tabs>
          <w:tab w:val="left" w:pos="567"/>
        </w:tabs>
        <w:autoSpaceDE w:val="0"/>
        <w:autoSpaceDN w:val="0"/>
        <w:adjustRightInd w:val="0"/>
        <w:spacing w:after="120" w:line="240" w:lineRule="auto"/>
        <w:ind w:left="567" w:hanging="283"/>
        <w:jc w:val="both"/>
        <w:rPr>
          <w:rFonts w:ascii="Tahoma" w:hAnsi="Tahoma" w:cs="Tahoma"/>
          <w:sz w:val="20"/>
          <w:szCs w:val="20"/>
          <w:u w:val="single"/>
        </w:rPr>
      </w:pPr>
      <w:proofErr w:type="spellStart"/>
      <w:r w:rsidRPr="00472F12">
        <w:rPr>
          <w:rFonts w:ascii="Tahoma" w:hAnsi="Tahoma" w:cs="Tahoma"/>
          <w:sz w:val="20"/>
          <w:szCs w:val="20"/>
          <w:u w:val="single"/>
        </w:rPr>
        <w:t>Επιλεξιμότητα</w:t>
      </w:r>
      <w:proofErr w:type="spellEnd"/>
      <w:r w:rsidRPr="00472F12">
        <w:rPr>
          <w:rFonts w:ascii="Tahoma" w:hAnsi="Tahoma" w:cs="Tahoma"/>
          <w:sz w:val="20"/>
          <w:szCs w:val="20"/>
          <w:u w:val="single"/>
        </w:rPr>
        <w:t xml:space="preserve"> επενδύσεων</w:t>
      </w:r>
    </w:p>
    <w:p w:rsidR="002D242C" w:rsidRPr="00FA2263" w:rsidRDefault="002D242C" w:rsidP="00E34984">
      <w:pPr>
        <w:pStyle w:val="a6"/>
        <w:numPr>
          <w:ilvl w:val="0"/>
          <w:numId w:val="26"/>
        </w:numPr>
        <w:tabs>
          <w:tab w:val="left" w:pos="851"/>
        </w:tabs>
        <w:autoSpaceDE w:val="0"/>
        <w:autoSpaceDN w:val="0"/>
        <w:adjustRightInd w:val="0"/>
        <w:spacing w:after="120" w:line="240" w:lineRule="auto"/>
        <w:ind w:left="851" w:hanging="284"/>
        <w:contextualSpacing w:val="0"/>
        <w:jc w:val="both"/>
        <w:rPr>
          <w:rFonts w:ascii="Tahoma" w:hAnsi="Tahoma" w:cs="Tahoma"/>
          <w:sz w:val="20"/>
          <w:szCs w:val="20"/>
        </w:rPr>
      </w:pPr>
      <w:r w:rsidRPr="00293B80">
        <w:rPr>
          <w:rFonts w:ascii="Tahoma" w:hAnsi="Tahoma" w:cs="Tahoma"/>
          <w:sz w:val="20"/>
          <w:szCs w:val="20"/>
          <w:highlight w:val="yellow"/>
        </w:rPr>
        <w:t xml:space="preserve">Οι επενδυτικές ενισχύσεις χορηγούνται για την ανακύκλωση και επαναχρησιμοποίηση αποβλήτων </w:t>
      </w:r>
      <w:commentRangeStart w:id="0"/>
      <w:r w:rsidRPr="00293B80">
        <w:rPr>
          <w:rFonts w:ascii="Tahoma" w:hAnsi="Tahoma" w:cs="Tahoma"/>
          <w:sz w:val="20"/>
          <w:szCs w:val="20"/>
          <w:highlight w:val="yellow"/>
        </w:rPr>
        <w:t>που δημιουργούν άλλες επιχειρήσεις</w:t>
      </w:r>
      <w:commentRangeEnd w:id="0"/>
      <w:r w:rsidR="00810E6A">
        <w:rPr>
          <w:rStyle w:val="a9"/>
        </w:rPr>
        <w:commentReference w:id="0"/>
      </w:r>
      <w:r w:rsidRPr="00293B80">
        <w:rPr>
          <w:rFonts w:ascii="Tahoma" w:hAnsi="Tahoma" w:cs="Tahoma"/>
          <w:sz w:val="20"/>
          <w:szCs w:val="20"/>
          <w:highlight w:val="yellow"/>
        </w:rPr>
        <w:t>.</w:t>
      </w:r>
      <w:r w:rsidRPr="00FA2263">
        <w:rPr>
          <w:rFonts w:ascii="Tahoma" w:hAnsi="Tahoma" w:cs="Tahoma"/>
          <w:sz w:val="20"/>
          <w:szCs w:val="20"/>
        </w:rPr>
        <w:t xml:space="preserve"> Τα προς επεξεργασία ανακυκλούμενα ή επαναχρησιμοποιούμενα υλικά σε άλλη περίπτωση θα απορρίπτονταν ή θα υφίσταντο επεξεργασία με τρόπο λιγότερο φιλικό προς το περιβάλλον. </w:t>
      </w:r>
    </w:p>
    <w:p w:rsidR="002D242C" w:rsidRPr="00FA2263" w:rsidRDefault="002D242C" w:rsidP="00E34984">
      <w:pPr>
        <w:pStyle w:val="a6"/>
        <w:numPr>
          <w:ilvl w:val="0"/>
          <w:numId w:val="26"/>
        </w:numPr>
        <w:tabs>
          <w:tab w:val="left" w:pos="851"/>
        </w:tabs>
        <w:autoSpaceDE w:val="0"/>
        <w:autoSpaceDN w:val="0"/>
        <w:adjustRightInd w:val="0"/>
        <w:spacing w:after="120" w:line="240" w:lineRule="auto"/>
        <w:ind w:left="851" w:hanging="284"/>
        <w:contextualSpacing w:val="0"/>
        <w:jc w:val="both"/>
        <w:rPr>
          <w:rFonts w:ascii="Tahoma" w:hAnsi="Tahoma" w:cs="Tahoma"/>
          <w:sz w:val="20"/>
          <w:szCs w:val="20"/>
        </w:rPr>
      </w:pPr>
      <w:r w:rsidRPr="00FA2263">
        <w:rPr>
          <w:rFonts w:ascii="Tahoma" w:hAnsi="Tahoma" w:cs="Tahoma"/>
          <w:sz w:val="20"/>
          <w:szCs w:val="20"/>
        </w:rPr>
        <w:t xml:space="preserve">Η ενίσχυση δεν απαλλάσσει έμμεσα τους </w:t>
      </w:r>
      <w:proofErr w:type="spellStart"/>
      <w:r w:rsidRPr="00FA2263">
        <w:rPr>
          <w:rFonts w:ascii="Tahoma" w:hAnsi="Tahoma" w:cs="Tahoma"/>
          <w:sz w:val="20"/>
          <w:szCs w:val="20"/>
        </w:rPr>
        <w:t>ρυπαίνοντες</w:t>
      </w:r>
      <w:proofErr w:type="spellEnd"/>
      <w:r w:rsidRPr="00FA2263">
        <w:rPr>
          <w:rFonts w:ascii="Tahoma" w:hAnsi="Tahoma" w:cs="Tahoma"/>
          <w:sz w:val="20"/>
          <w:szCs w:val="20"/>
        </w:rPr>
        <w:t xml:space="preserve"> από επιβάρυνση που πρέπει να τους επιβάλει η </w:t>
      </w:r>
      <w:proofErr w:type="spellStart"/>
      <w:r w:rsidRPr="00FA2263">
        <w:rPr>
          <w:rFonts w:ascii="Tahoma" w:hAnsi="Tahoma" w:cs="Tahoma"/>
          <w:sz w:val="20"/>
          <w:szCs w:val="20"/>
        </w:rPr>
        <w:t>ενωσιακή</w:t>
      </w:r>
      <w:proofErr w:type="spellEnd"/>
      <w:r w:rsidRPr="00FA2263">
        <w:rPr>
          <w:rFonts w:ascii="Tahoma" w:hAnsi="Tahoma" w:cs="Tahoma"/>
          <w:sz w:val="20"/>
          <w:szCs w:val="20"/>
        </w:rPr>
        <w:t xml:space="preserve"> νομοθεσία ή από επιβάρυνση που θεωρείται συνήθης επιχειρηματική δαπάνη. </w:t>
      </w:r>
    </w:p>
    <w:p w:rsidR="002D242C" w:rsidRPr="00FA2263" w:rsidRDefault="002D242C" w:rsidP="00E34984">
      <w:pPr>
        <w:pStyle w:val="a6"/>
        <w:numPr>
          <w:ilvl w:val="0"/>
          <w:numId w:val="26"/>
        </w:numPr>
        <w:tabs>
          <w:tab w:val="left" w:pos="851"/>
        </w:tabs>
        <w:autoSpaceDE w:val="0"/>
        <w:autoSpaceDN w:val="0"/>
        <w:adjustRightInd w:val="0"/>
        <w:spacing w:after="120" w:line="240" w:lineRule="auto"/>
        <w:ind w:left="851" w:hanging="284"/>
        <w:contextualSpacing w:val="0"/>
        <w:jc w:val="both"/>
        <w:rPr>
          <w:rFonts w:ascii="Tahoma" w:hAnsi="Tahoma" w:cs="Tahoma"/>
          <w:sz w:val="20"/>
          <w:szCs w:val="20"/>
        </w:rPr>
      </w:pPr>
      <w:r w:rsidRPr="00FA2263">
        <w:rPr>
          <w:rFonts w:ascii="Tahoma" w:hAnsi="Tahoma" w:cs="Tahoma"/>
          <w:sz w:val="20"/>
          <w:szCs w:val="20"/>
        </w:rPr>
        <w:t xml:space="preserve">Η επένδυση δεν αυξάνει απλώς τη ζήτηση για τα προς ανακύκλωση υλικά χωρίς να αυξάνει συγχρόνως τη συλλογή αυτών των υλικών. </w:t>
      </w:r>
    </w:p>
    <w:p w:rsidR="002D242C" w:rsidRPr="00FA2263" w:rsidRDefault="002D242C" w:rsidP="00E34984">
      <w:pPr>
        <w:pStyle w:val="a6"/>
        <w:numPr>
          <w:ilvl w:val="0"/>
          <w:numId w:val="26"/>
        </w:numPr>
        <w:tabs>
          <w:tab w:val="left" w:pos="851"/>
        </w:tabs>
        <w:autoSpaceDE w:val="0"/>
        <w:autoSpaceDN w:val="0"/>
        <w:adjustRightInd w:val="0"/>
        <w:spacing w:after="120" w:line="240" w:lineRule="auto"/>
        <w:ind w:left="851" w:hanging="284"/>
        <w:contextualSpacing w:val="0"/>
        <w:jc w:val="both"/>
        <w:rPr>
          <w:rFonts w:ascii="Tahoma" w:hAnsi="Tahoma" w:cs="Tahoma"/>
          <w:sz w:val="20"/>
          <w:szCs w:val="20"/>
        </w:rPr>
      </w:pPr>
      <w:r w:rsidRPr="00FA2263">
        <w:rPr>
          <w:rFonts w:ascii="Tahoma" w:hAnsi="Tahoma" w:cs="Tahoma"/>
          <w:sz w:val="20"/>
          <w:szCs w:val="20"/>
        </w:rPr>
        <w:t xml:space="preserve">Η επένδυση υπερβαίνει τη σύγχρονη τεχνολογία. </w:t>
      </w:r>
    </w:p>
    <w:p w:rsidR="002D242C" w:rsidRPr="00FA2263" w:rsidRDefault="002D242C" w:rsidP="00E34984">
      <w:pPr>
        <w:pStyle w:val="a6"/>
        <w:numPr>
          <w:ilvl w:val="0"/>
          <w:numId w:val="26"/>
        </w:numPr>
        <w:tabs>
          <w:tab w:val="left" w:pos="851"/>
        </w:tabs>
        <w:autoSpaceDE w:val="0"/>
        <w:autoSpaceDN w:val="0"/>
        <w:adjustRightInd w:val="0"/>
        <w:spacing w:after="120" w:line="240" w:lineRule="auto"/>
        <w:ind w:left="851" w:hanging="284"/>
        <w:contextualSpacing w:val="0"/>
        <w:jc w:val="both"/>
        <w:rPr>
          <w:rFonts w:ascii="Tahoma" w:hAnsi="Tahoma" w:cs="Tahoma"/>
          <w:sz w:val="20"/>
          <w:szCs w:val="20"/>
        </w:rPr>
      </w:pPr>
      <w:r w:rsidRPr="00FA2263">
        <w:rPr>
          <w:rFonts w:ascii="Tahoma" w:hAnsi="Tahoma" w:cs="Tahoma"/>
          <w:sz w:val="20"/>
          <w:szCs w:val="20"/>
        </w:rPr>
        <w:t>Οι ενισχύσεις για άλλες εργασίες ανάκτησης αποβλήτων, πλην της ανακύκλωσης, δεν απαλλάσσονται κατά κατηγορία βάσει του παρόντος άρθρου.</w:t>
      </w:r>
    </w:p>
    <w:p w:rsidR="002D242C" w:rsidRPr="00293B80" w:rsidRDefault="002D242C" w:rsidP="00E34984">
      <w:pPr>
        <w:pStyle w:val="a6"/>
        <w:numPr>
          <w:ilvl w:val="0"/>
          <w:numId w:val="26"/>
        </w:numPr>
        <w:tabs>
          <w:tab w:val="left" w:pos="851"/>
        </w:tabs>
        <w:autoSpaceDE w:val="0"/>
        <w:autoSpaceDN w:val="0"/>
        <w:adjustRightInd w:val="0"/>
        <w:spacing w:after="120" w:line="240" w:lineRule="auto"/>
        <w:ind w:left="851" w:hanging="284"/>
        <w:contextualSpacing w:val="0"/>
        <w:jc w:val="both"/>
        <w:rPr>
          <w:rFonts w:ascii="Tahoma" w:hAnsi="Tahoma" w:cs="Tahoma"/>
          <w:sz w:val="20"/>
          <w:szCs w:val="20"/>
          <w:highlight w:val="yellow"/>
        </w:rPr>
      </w:pPr>
      <w:commentRangeStart w:id="2"/>
      <w:r w:rsidRPr="00293B80">
        <w:rPr>
          <w:rFonts w:ascii="Tahoma" w:hAnsi="Tahoma" w:cs="Tahoma"/>
          <w:sz w:val="20"/>
          <w:szCs w:val="20"/>
          <w:highlight w:val="yellow"/>
        </w:rPr>
        <w:t>Οι ενισχύσεις για επενδύσεις που αφορούν την ανακύκλωση και επαναχρησιμοποίηση των αποβλήτων του ίδιου του δικαιούχου δεν απαλλάσσονται από την υποχρέωση κοινοποίησης βάσει του παρόντος άρθρου.</w:t>
      </w:r>
      <w:commentRangeEnd w:id="2"/>
      <w:r w:rsidR="00810E6A">
        <w:rPr>
          <w:rStyle w:val="a9"/>
        </w:rPr>
        <w:commentReference w:id="2"/>
      </w:r>
    </w:p>
    <w:p w:rsidR="0036148D" w:rsidRPr="00553E8A" w:rsidRDefault="00553E8A" w:rsidP="00E34984">
      <w:pPr>
        <w:numPr>
          <w:ilvl w:val="0"/>
          <w:numId w:val="3"/>
        </w:numPr>
        <w:tabs>
          <w:tab w:val="left" w:pos="567"/>
        </w:tabs>
        <w:autoSpaceDE w:val="0"/>
        <w:autoSpaceDN w:val="0"/>
        <w:adjustRightInd w:val="0"/>
        <w:spacing w:after="120" w:line="240" w:lineRule="auto"/>
        <w:ind w:left="567" w:hanging="283"/>
        <w:jc w:val="both"/>
        <w:rPr>
          <w:rFonts w:ascii="Tahoma" w:hAnsi="Tahoma" w:cs="Tahoma"/>
          <w:sz w:val="20"/>
          <w:szCs w:val="20"/>
          <w:u w:val="single"/>
        </w:rPr>
      </w:pPr>
      <w:r>
        <w:rPr>
          <w:rFonts w:ascii="Tahoma" w:hAnsi="Tahoma" w:cs="Tahoma"/>
          <w:sz w:val="20"/>
          <w:szCs w:val="20"/>
          <w:u w:val="single"/>
        </w:rPr>
        <w:t>Επιλέξιμες δαπάνες</w:t>
      </w:r>
    </w:p>
    <w:p w:rsidR="002D242C" w:rsidRPr="00C75C9E" w:rsidRDefault="00C75C9E" w:rsidP="00923B65">
      <w:pPr>
        <w:tabs>
          <w:tab w:val="left" w:pos="567"/>
        </w:tabs>
        <w:autoSpaceDE w:val="0"/>
        <w:autoSpaceDN w:val="0"/>
        <w:adjustRightInd w:val="0"/>
        <w:spacing w:after="120" w:line="240" w:lineRule="auto"/>
        <w:ind w:left="567"/>
        <w:jc w:val="both"/>
        <w:rPr>
          <w:rFonts w:ascii="Tahoma" w:hAnsi="Tahoma" w:cs="Tahoma"/>
          <w:sz w:val="20"/>
          <w:szCs w:val="20"/>
        </w:rPr>
      </w:pPr>
      <w:r>
        <w:rPr>
          <w:rFonts w:ascii="Tahoma" w:hAnsi="Tahoma" w:cs="Tahoma"/>
          <w:sz w:val="20"/>
          <w:szCs w:val="20"/>
        </w:rPr>
        <w:t>Επιλέξιμες είναι ο</w:t>
      </w:r>
      <w:r w:rsidR="002D242C" w:rsidRPr="00C75C9E">
        <w:rPr>
          <w:rFonts w:ascii="Tahoma" w:hAnsi="Tahoma" w:cs="Tahoma"/>
          <w:sz w:val="20"/>
          <w:szCs w:val="20"/>
        </w:rPr>
        <w:t>ι πρόσθετες επενδυτικές δαπάνες που είναι απαραίτητες για να πραγματοποιηθεί μια επένδυση σε καλύτερες ή αποδοτικότερες δραστηριότητες ανακύκλωσης ή επαναχρησιμοποίησης, σε σύγκριση με μια συμβατική μονάδα επαναχρησιμοποίησης και ανακύκλωσης ίδιας δυναμικότητας που θα κατασκευαζόταν ελλείψει ενίσχυσης</w:t>
      </w:r>
    </w:p>
    <w:p w:rsidR="00553E8A" w:rsidRDefault="002D242C" w:rsidP="00E34984">
      <w:pPr>
        <w:numPr>
          <w:ilvl w:val="0"/>
          <w:numId w:val="3"/>
        </w:numPr>
        <w:tabs>
          <w:tab w:val="left" w:pos="567"/>
        </w:tabs>
        <w:autoSpaceDE w:val="0"/>
        <w:autoSpaceDN w:val="0"/>
        <w:adjustRightInd w:val="0"/>
        <w:spacing w:after="120" w:line="240" w:lineRule="auto"/>
        <w:ind w:left="567" w:hanging="283"/>
        <w:jc w:val="both"/>
        <w:rPr>
          <w:rFonts w:ascii="Tahoma" w:hAnsi="Tahoma" w:cs="Tahoma"/>
          <w:sz w:val="20"/>
          <w:szCs w:val="20"/>
          <w:u w:val="single"/>
        </w:rPr>
      </w:pPr>
      <w:r w:rsidRPr="00553E8A">
        <w:rPr>
          <w:rFonts w:ascii="Tahoma" w:hAnsi="Tahoma" w:cs="Tahoma"/>
          <w:sz w:val="20"/>
          <w:szCs w:val="20"/>
          <w:u w:val="single"/>
        </w:rPr>
        <w:t>Ένταση της ενίσχυσης</w:t>
      </w:r>
      <w:r w:rsidR="00381DF5">
        <w:rPr>
          <w:rFonts w:ascii="Tahoma" w:hAnsi="Tahoma" w:cs="Tahoma"/>
          <w:sz w:val="20"/>
          <w:szCs w:val="20"/>
          <w:u w:val="single"/>
        </w:rPr>
        <w:t>:</w:t>
      </w:r>
    </w:p>
    <w:p w:rsidR="002D242C" w:rsidRPr="00381DF5" w:rsidRDefault="00553E8A" w:rsidP="00E34984">
      <w:pPr>
        <w:pStyle w:val="a6"/>
        <w:numPr>
          <w:ilvl w:val="0"/>
          <w:numId w:val="26"/>
        </w:numPr>
        <w:tabs>
          <w:tab w:val="left" w:pos="851"/>
        </w:tabs>
        <w:autoSpaceDE w:val="0"/>
        <w:autoSpaceDN w:val="0"/>
        <w:adjustRightInd w:val="0"/>
        <w:spacing w:after="120" w:line="240" w:lineRule="auto"/>
        <w:ind w:left="851" w:hanging="284"/>
        <w:contextualSpacing w:val="0"/>
        <w:jc w:val="both"/>
        <w:rPr>
          <w:rFonts w:ascii="Tahoma" w:hAnsi="Tahoma" w:cs="Tahoma"/>
          <w:sz w:val="20"/>
          <w:szCs w:val="20"/>
        </w:rPr>
      </w:pPr>
      <w:r w:rsidRPr="00381DF5">
        <w:rPr>
          <w:rFonts w:ascii="Tahoma" w:hAnsi="Tahoma" w:cs="Tahoma"/>
          <w:sz w:val="20"/>
          <w:szCs w:val="20"/>
        </w:rPr>
        <w:t>Δ</w:t>
      </w:r>
      <w:r w:rsidR="002D242C" w:rsidRPr="00381DF5">
        <w:rPr>
          <w:rFonts w:ascii="Tahoma" w:hAnsi="Tahoma" w:cs="Tahoma"/>
          <w:sz w:val="20"/>
          <w:szCs w:val="20"/>
        </w:rPr>
        <w:t xml:space="preserve">εν υπερβαίνει </w:t>
      </w:r>
      <w:r w:rsidRPr="00381DF5">
        <w:rPr>
          <w:rFonts w:ascii="Tahoma" w:hAnsi="Tahoma" w:cs="Tahoma"/>
          <w:sz w:val="20"/>
          <w:szCs w:val="20"/>
        </w:rPr>
        <w:t>το 35 % των επιλέξιμων δαπανών</w:t>
      </w:r>
    </w:p>
    <w:p w:rsidR="002D242C" w:rsidRPr="00381DF5" w:rsidRDefault="00553E8A" w:rsidP="00E34984">
      <w:pPr>
        <w:pStyle w:val="a6"/>
        <w:numPr>
          <w:ilvl w:val="0"/>
          <w:numId w:val="26"/>
        </w:numPr>
        <w:tabs>
          <w:tab w:val="left" w:pos="851"/>
        </w:tabs>
        <w:autoSpaceDE w:val="0"/>
        <w:autoSpaceDN w:val="0"/>
        <w:adjustRightInd w:val="0"/>
        <w:spacing w:after="120" w:line="240" w:lineRule="auto"/>
        <w:ind w:left="851" w:hanging="284"/>
        <w:contextualSpacing w:val="0"/>
        <w:jc w:val="both"/>
        <w:rPr>
          <w:rFonts w:ascii="Tahoma" w:hAnsi="Tahoma" w:cs="Tahoma"/>
          <w:sz w:val="20"/>
          <w:szCs w:val="20"/>
        </w:rPr>
      </w:pPr>
      <w:proofErr w:type="spellStart"/>
      <w:r w:rsidRPr="00381DF5">
        <w:rPr>
          <w:rFonts w:ascii="Tahoma" w:hAnsi="Tahoma" w:cs="Tahoma"/>
          <w:sz w:val="20"/>
          <w:szCs w:val="20"/>
        </w:rPr>
        <w:t>M</w:t>
      </w:r>
      <w:r w:rsidR="002D242C" w:rsidRPr="00381DF5">
        <w:rPr>
          <w:rFonts w:ascii="Tahoma" w:hAnsi="Tahoma" w:cs="Tahoma"/>
          <w:sz w:val="20"/>
          <w:szCs w:val="20"/>
        </w:rPr>
        <w:t>πορεί</w:t>
      </w:r>
      <w:proofErr w:type="spellEnd"/>
      <w:r w:rsidR="002D242C" w:rsidRPr="00381DF5">
        <w:rPr>
          <w:rFonts w:ascii="Tahoma" w:hAnsi="Tahoma" w:cs="Tahoma"/>
          <w:sz w:val="20"/>
          <w:szCs w:val="20"/>
        </w:rPr>
        <w:t xml:space="preserve"> να αυξηθεί κατά 20 εκατοστιαίες μονάδες, στην περίπτωση ενισχύσεων που χορηγούνται σε μικρές επιχειρήσεις, και κατά 10 εκατοστιαίες μονάδες, στην περίπτωση ενισχύσεων που χορηγούνται σε μεσαίες επιχειρήσεις. </w:t>
      </w:r>
    </w:p>
    <w:p w:rsidR="002D242C" w:rsidRPr="00381DF5" w:rsidRDefault="002D242C" w:rsidP="00E34984">
      <w:pPr>
        <w:pStyle w:val="a6"/>
        <w:numPr>
          <w:ilvl w:val="0"/>
          <w:numId w:val="26"/>
        </w:numPr>
        <w:tabs>
          <w:tab w:val="left" w:pos="851"/>
        </w:tabs>
        <w:autoSpaceDE w:val="0"/>
        <w:autoSpaceDN w:val="0"/>
        <w:adjustRightInd w:val="0"/>
        <w:spacing w:after="120" w:line="240" w:lineRule="auto"/>
        <w:ind w:left="851" w:hanging="284"/>
        <w:contextualSpacing w:val="0"/>
        <w:jc w:val="both"/>
        <w:rPr>
          <w:rFonts w:ascii="Tahoma" w:hAnsi="Tahoma" w:cs="Tahoma"/>
          <w:sz w:val="20"/>
          <w:szCs w:val="20"/>
        </w:rPr>
      </w:pPr>
      <w:r w:rsidRPr="00381DF5">
        <w:rPr>
          <w:rFonts w:ascii="Tahoma" w:hAnsi="Tahoma" w:cs="Tahoma"/>
          <w:sz w:val="20"/>
          <w:szCs w:val="20"/>
        </w:rPr>
        <w:lastRenderedPageBreak/>
        <w:t xml:space="preserve">Η ένταση της ενίσχυσης μπορεί να αυξηθεί κατά 15 εκατοστιαίες μονάδες για επενδύσεις σε ενισχυόμενες περιοχές που πληρούν τις προϋποθέσεις του άρθρου 107 παράγραφος 3 στοιχείο α) της Συνθήκης και κατά 5 εκατοστιαίες μονάδες για τις επενδύσεις σε ενισχυόμενες περιοχές που πληρούν τις προϋποθέσεις του άρθρου 107 παράγραφος 3 στοιχείο γ) της Συνθήκης </w:t>
      </w:r>
    </w:p>
    <w:p w:rsidR="002D242C" w:rsidRPr="00F13D38" w:rsidRDefault="002D242C" w:rsidP="00923B65">
      <w:pPr>
        <w:spacing w:before="240" w:after="120" w:line="240" w:lineRule="auto"/>
        <w:jc w:val="both"/>
        <w:rPr>
          <w:rFonts w:ascii="Tahoma" w:hAnsi="Tahoma" w:cs="Tahoma"/>
          <w:b/>
          <w:sz w:val="20"/>
          <w:szCs w:val="20"/>
          <w:u w:val="single"/>
        </w:rPr>
      </w:pPr>
      <w:r w:rsidRPr="00F13D38">
        <w:rPr>
          <w:rFonts w:ascii="Tahoma" w:hAnsi="Tahoma" w:cs="Tahoma"/>
          <w:b/>
          <w:sz w:val="20"/>
          <w:szCs w:val="20"/>
          <w:u w:val="single"/>
        </w:rPr>
        <w:t xml:space="preserve">Ενισχύσεις για την εκπόνηση περιβαλλοντικών μελετών </w:t>
      </w:r>
    </w:p>
    <w:p w:rsidR="002D242C" w:rsidRPr="00F13D38" w:rsidRDefault="002D242C" w:rsidP="00F001F1">
      <w:pPr>
        <w:spacing w:after="120" w:line="240" w:lineRule="auto"/>
        <w:jc w:val="both"/>
        <w:rPr>
          <w:rFonts w:ascii="Tahoma" w:hAnsi="Tahoma" w:cs="Tahoma"/>
          <w:sz w:val="20"/>
          <w:szCs w:val="20"/>
        </w:rPr>
      </w:pPr>
      <w:r w:rsidRPr="00F13D38">
        <w:rPr>
          <w:rFonts w:ascii="Tahoma" w:hAnsi="Tahoma" w:cs="Tahoma"/>
          <w:sz w:val="20"/>
          <w:szCs w:val="20"/>
        </w:rPr>
        <w:t xml:space="preserve">Οι ενισχύσεις για την εκπόνηση μελετών, συμπεριλαμβανομένων των ενεργειακών ελέγχων, που συνδέονται άμεσα με τις επενδύσεις που αναφέρονται στο παρόν τμήμα συμβιβάζονται με την εσωτερική αγορά και απαλλάσσονται από την υποχρέωση κοινοποίησης, εφόσον πληρούνται οι </w:t>
      </w:r>
      <w:r w:rsidR="0002140B" w:rsidRPr="00750F92">
        <w:rPr>
          <w:rFonts w:ascii="Tahoma" w:hAnsi="Tahoma" w:cs="Tahoma"/>
          <w:sz w:val="20"/>
          <w:szCs w:val="20"/>
        </w:rPr>
        <w:t>προαναφερθείσες</w:t>
      </w:r>
      <w:r w:rsidR="0002140B" w:rsidRPr="00F13D38">
        <w:rPr>
          <w:rFonts w:ascii="Tahoma" w:hAnsi="Tahoma" w:cs="Tahoma"/>
          <w:sz w:val="20"/>
          <w:szCs w:val="20"/>
        </w:rPr>
        <w:t xml:space="preserve"> </w:t>
      </w:r>
      <w:r w:rsidRPr="00F13D38">
        <w:rPr>
          <w:rFonts w:ascii="Tahoma" w:hAnsi="Tahoma" w:cs="Tahoma"/>
          <w:sz w:val="20"/>
          <w:szCs w:val="20"/>
        </w:rPr>
        <w:t xml:space="preserve">προϋποθέσεις του </w:t>
      </w:r>
      <w:r w:rsidR="0002140B">
        <w:rPr>
          <w:rFonts w:ascii="Tahoma" w:hAnsi="Tahoma" w:cs="Tahoma"/>
          <w:sz w:val="20"/>
          <w:szCs w:val="20"/>
        </w:rPr>
        <w:t xml:space="preserve">Γενικού Μέρους (Κεφάλαιο Ι) του </w:t>
      </w:r>
      <w:r w:rsidRPr="00F13D38">
        <w:rPr>
          <w:rFonts w:ascii="Tahoma" w:hAnsi="Tahoma" w:cs="Tahoma"/>
          <w:sz w:val="20"/>
          <w:szCs w:val="20"/>
        </w:rPr>
        <w:t>ΓΑΚ</w:t>
      </w:r>
      <w:r w:rsidR="0002140B">
        <w:rPr>
          <w:rFonts w:ascii="Tahoma" w:hAnsi="Tahoma" w:cs="Tahoma"/>
          <w:sz w:val="20"/>
          <w:szCs w:val="20"/>
        </w:rPr>
        <w:t xml:space="preserve"> και </w:t>
      </w:r>
      <w:r w:rsidR="0002140B" w:rsidRPr="00750F92">
        <w:rPr>
          <w:rFonts w:ascii="Tahoma" w:hAnsi="Tahoma" w:cs="Tahoma"/>
          <w:sz w:val="20"/>
          <w:szCs w:val="20"/>
        </w:rPr>
        <w:t>οι παρακάτω προϋποθέσεις του άρθρου 4</w:t>
      </w:r>
      <w:r w:rsidR="0002140B">
        <w:rPr>
          <w:rFonts w:ascii="Tahoma" w:hAnsi="Tahoma" w:cs="Tahoma"/>
          <w:sz w:val="20"/>
          <w:szCs w:val="20"/>
        </w:rPr>
        <w:t>9</w:t>
      </w:r>
      <w:r w:rsidR="00010F2A">
        <w:rPr>
          <w:rFonts w:ascii="Tahoma" w:hAnsi="Tahoma" w:cs="Tahoma"/>
          <w:sz w:val="20"/>
          <w:szCs w:val="20"/>
        </w:rPr>
        <w:t xml:space="preserve"> του ΓΑΚ.</w:t>
      </w:r>
    </w:p>
    <w:p w:rsidR="002D242C" w:rsidRPr="00F13D38" w:rsidRDefault="002D242C" w:rsidP="00923B65">
      <w:pPr>
        <w:numPr>
          <w:ilvl w:val="0"/>
          <w:numId w:val="3"/>
        </w:numPr>
        <w:autoSpaceDE w:val="0"/>
        <w:autoSpaceDN w:val="0"/>
        <w:adjustRightInd w:val="0"/>
        <w:spacing w:after="120" w:line="240" w:lineRule="auto"/>
        <w:ind w:left="317" w:hanging="283"/>
        <w:jc w:val="both"/>
        <w:rPr>
          <w:rFonts w:ascii="Tahoma" w:hAnsi="Tahoma" w:cs="Tahoma"/>
          <w:sz w:val="20"/>
          <w:szCs w:val="20"/>
          <w:lang w:eastAsia="en-GB"/>
        </w:rPr>
      </w:pPr>
      <w:r w:rsidRPr="00F13D38">
        <w:rPr>
          <w:rFonts w:ascii="Tahoma" w:hAnsi="Tahoma" w:cs="Tahoma"/>
          <w:sz w:val="20"/>
          <w:szCs w:val="20"/>
          <w:lang w:eastAsia="en-GB"/>
        </w:rPr>
        <w:t xml:space="preserve">Επιλέξιμες είναι οι δαπάνες εκπόνησης των μελετών, συμπεριλαμβανομένων των ενεργειακών ελέγχων, που συνδέονται άμεσα με τις επενδύσεις που αναφέρονται στο </w:t>
      </w:r>
      <w:r w:rsidRPr="00923B65">
        <w:rPr>
          <w:rFonts w:ascii="Tahoma" w:hAnsi="Tahoma" w:cs="Tahoma"/>
          <w:sz w:val="20"/>
          <w:szCs w:val="20"/>
          <w:lang w:eastAsia="en-GB"/>
        </w:rPr>
        <w:t>τμήμα ΙΙ (Ειδικό μέρος)</w:t>
      </w:r>
      <w:r>
        <w:rPr>
          <w:rFonts w:ascii="Tahoma" w:hAnsi="Tahoma" w:cs="Tahoma"/>
          <w:sz w:val="20"/>
          <w:szCs w:val="20"/>
          <w:lang w:eastAsia="en-GB"/>
        </w:rPr>
        <w:t xml:space="preserve"> του ΓΑΚ</w:t>
      </w:r>
      <w:r w:rsidRPr="00F13D38">
        <w:rPr>
          <w:rFonts w:ascii="Tahoma" w:hAnsi="Tahoma" w:cs="Tahoma"/>
          <w:sz w:val="20"/>
          <w:szCs w:val="20"/>
          <w:lang w:eastAsia="en-GB"/>
        </w:rPr>
        <w:t xml:space="preserve">. </w:t>
      </w:r>
    </w:p>
    <w:p w:rsidR="002D242C" w:rsidRPr="00F13D38" w:rsidRDefault="002D242C" w:rsidP="00F001F1">
      <w:pPr>
        <w:numPr>
          <w:ilvl w:val="0"/>
          <w:numId w:val="3"/>
        </w:numPr>
        <w:autoSpaceDE w:val="0"/>
        <w:autoSpaceDN w:val="0"/>
        <w:adjustRightInd w:val="0"/>
        <w:spacing w:after="120" w:line="240" w:lineRule="auto"/>
        <w:ind w:left="317" w:hanging="283"/>
        <w:jc w:val="both"/>
        <w:rPr>
          <w:rFonts w:ascii="Tahoma" w:hAnsi="Tahoma" w:cs="Tahoma"/>
          <w:sz w:val="20"/>
          <w:szCs w:val="20"/>
          <w:lang w:eastAsia="en-GB"/>
        </w:rPr>
      </w:pPr>
      <w:r w:rsidRPr="00F13D38">
        <w:rPr>
          <w:rFonts w:ascii="Tahoma" w:hAnsi="Tahoma" w:cs="Tahoma"/>
          <w:sz w:val="20"/>
          <w:szCs w:val="20"/>
          <w:lang w:eastAsia="en-GB"/>
        </w:rPr>
        <w:t xml:space="preserve">Η ένταση της ενίσχυσης δεν υπερβαίνει το 50 % των επιλέξιμων δαπανών. </w:t>
      </w:r>
    </w:p>
    <w:p w:rsidR="002D242C" w:rsidRPr="00F13D38" w:rsidRDefault="002D242C" w:rsidP="00F001F1">
      <w:pPr>
        <w:numPr>
          <w:ilvl w:val="0"/>
          <w:numId w:val="3"/>
        </w:numPr>
        <w:autoSpaceDE w:val="0"/>
        <w:autoSpaceDN w:val="0"/>
        <w:adjustRightInd w:val="0"/>
        <w:spacing w:after="120" w:line="240" w:lineRule="auto"/>
        <w:ind w:left="317" w:hanging="283"/>
        <w:jc w:val="both"/>
        <w:rPr>
          <w:rFonts w:ascii="Tahoma" w:hAnsi="Tahoma" w:cs="Tahoma"/>
          <w:sz w:val="20"/>
          <w:szCs w:val="20"/>
          <w:lang w:eastAsia="en-GB"/>
        </w:rPr>
      </w:pPr>
      <w:r w:rsidRPr="00F13D38">
        <w:rPr>
          <w:rFonts w:ascii="Tahoma" w:hAnsi="Tahoma" w:cs="Tahoma"/>
          <w:sz w:val="20"/>
          <w:szCs w:val="20"/>
          <w:lang w:eastAsia="en-GB"/>
        </w:rPr>
        <w:t xml:space="preserve">Η ένταση της ενίσχυσης μπορεί να αυξηθεί κατά 20 εκατοστιαίες μονάδες για τις μελέτες που εκπονούνται για λογαριασμό μικρών επιχειρήσεων και κατά 10 εκατοστιαίες μονάδες για τις μελέτες που εκπονούνται για λογαριασμό μεσαίων επιχειρήσεων. </w:t>
      </w:r>
    </w:p>
    <w:p w:rsidR="002D242C" w:rsidRPr="00293B80" w:rsidRDefault="002D242C" w:rsidP="00923B65">
      <w:pPr>
        <w:numPr>
          <w:ilvl w:val="0"/>
          <w:numId w:val="3"/>
        </w:numPr>
        <w:autoSpaceDE w:val="0"/>
        <w:autoSpaceDN w:val="0"/>
        <w:adjustRightInd w:val="0"/>
        <w:spacing w:after="120" w:line="240" w:lineRule="auto"/>
        <w:ind w:left="317" w:hanging="283"/>
        <w:jc w:val="both"/>
        <w:rPr>
          <w:rFonts w:ascii="Tahoma" w:hAnsi="Tahoma" w:cs="Tahoma"/>
          <w:sz w:val="20"/>
          <w:szCs w:val="20"/>
          <w:lang w:eastAsia="en-GB"/>
        </w:rPr>
      </w:pPr>
      <w:r w:rsidRPr="00F13D38">
        <w:rPr>
          <w:rFonts w:ascii="Tahoma" w:hAnsi="Tahoma" w:cs="Tahoma"/>
          <w:sz w:val="20"/>
          <w:szCs w:val="20"/>
          <w:lang w:eastAsia="en-GB"/>
        </w:rPr>
        <w:t>Δεν χορηγούνται ενισχύσεις σε μεγάλες επιχειρήσεις για ενεργειακούς ελέγχους που διενεργούνται δυνάμει του άρθρου 8 παράγραφος 4 της οδηγίας 2012/27/ΕΕ, εκτός εάν ο ενεργειακός έλεγχος πραγματοποιείται επιπλέον του υποχρεωτικού ενεργειακού ελέγχου που προβλέπεται στην εν λόγω οδηγία.</w:t>
      </w:r>
    </w:p>
    <w:p w:rsidR="00293B80" w:rsidRPr="00810E6A" w:rsidRDefault="00293B80" w:rsidP="00293B80">
      <w:pPr>
        <w:autoSpaceDE w:val="0"/>
        <w:autoSpaceDN w:val="0"/>
        <w:adjustRightInd w:val="0"/>
        <w:spacing w:after="120" w:line="240" w:lineRule="auto"/>
        <w:jc w:val="both"/>
        <w:rPr>
          <w:rFonts w:ascii="Tahoma" w:hAnsi="Tahoma" w:cs="Tahoma"/>
          <w:sz w:val="20"/>
          <w:szCs w:val="20"/>
          <w:lang w:eastAsia="en-GB"/>
        </w:rPr>
      </w:pPr>
    </w:p>
    <w:p w:rsidR="00293B80" w:rsidRPr="00F13D38" w:rsidRDefault="00293B80" w:rsidP="00293B80">
      <w:pPr>
        <w:autoSpaceDE w:val="0"/>
        <w:autoSpaceDN w:val="0"/>
        <w:adjustRightInd w:val="0"/>
        <w:spacing w:after="120" w:line="240" w:lineRule="auto"/>
        <w:jc w:val="both"/>
        <w:rPr>
          <w:rFonts w:ascii="Tahoma" w:hAnsi="Tahoma" w:cs="Tahoma"/>
          <w:sz w:val="20"/>
          <w:szCs w:val="20"/>
          <w:lang w:eastAsia="en-GB"/>
        </w:rPr>
      </w:pPr>
    </w:p>
    <w:sectPr w:rsidR="00293B80" w:rsidRPr="00F13D38" w:rsidSect="0033455F">
      <w:headerReference w:type="default" r:id="rId10"/>
      <w:footerReference w:type="default" r:id="rId11"/>
      <w:pgSz w:w="11907" w:h="16840" w:code="9"/>
      <w:pgMar w:top="1418" w:right="1417" w:bottom="993" w:left="993" w:header="425" w:footer="19"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ΚΟΛΟΚΟΤΡΩΝΗ ΚΩΝΣΤΑΝΤΙΝΑ" w:date="2016-07-04T10:05:00Z" w:initials="ΚΚ">
    <w:p w:rsidR="00810E6A" w:rsidRDefault="00810E6A">
      <w:pPr>
        <w:pStyle w:val="aa"/>
      </w:pPr>
      <w:r>
        <w:rPr>
          <w:rStyle w:val="a9"/>
        </w:rPr>
        <w:annotationRef/>
      </w:r>
      <w:r>
        <w:rPr>
          <w:lang w:val="en-US"/>
        </w:rPr>
        <w:t>H</w:t>
      </w:r>
      <w:r w:rsidRPr="00810E6A">
        <w:t xml:space="preserve"> </w:t>
      </w:r>
      <w:r>
        <w:rPr>
          <w:lang w:val="en-US"/>
        </w:rPr>
        <w:t>EYKE</w:t>
      </w:r>
      <w:r w:rsidRPr="00810E6A">
        <w:t xml:space="preserve"> </w:t>
      </w:r>
      <w:r>
        <w:t>ΛΕΕΙ ΟΤΙ ΘΑ ΑΛΛΑΞΕΙ Ο ΓΑΚ ΣΤΟ ΣΗΜΕΙΟ ΑΥΤΟ</w:t>
      </w:r>
      <w:bookmarkStart w:id="1" w:name="_GoBack"/>
      <w:bookmarkEnd w:id="1"/>
    </w:p>
  </w:comment>
  <w:comment w:id="2" w:author="ΚΟΛΟΚΟΤΡΩΝΗ ΚΩΝΣΤΑΝΤΙΝΑ" w:date="2016-07-04T10:04:00Z" w:initials="ΚΚ">
    <w:p w:rsidR="00810E6A" w:rsidRPr="00810E6A" w:rsidRDefault="00810E6A">
      <w:pPr>
        <w:pStyle w:val="aa"/>
      </w:pPr>
      <w:r>
        <w:rPr>
          <w:rStyle w:val="a9"/>
        </w:rPr>
        <w:annotationRef/>
      </w:r>
      <w:r>
        <w:rPr>
          <w:lang w:val="en-US"/>
        </w:rPr>
        <w:t>NA</w:t>
      </w:r>
      <w:r w:rsidRPr="00810E6A">
        <w:t xml:space="preserve"> </w:t>
      </w:r>
      <w:r>
        <w:rPr>
          <w:lang w:val="en-US"/>
        </w:rPr>
        <w:t>MEINEI</w:t>
      </w:r>
      <w:r w:rsidRPr="00810E6A">
        <w:t xml:space="preserve">? </w:t>
      </w:r>
      <w:r>
        <w:rPr>
          <w:lang w:val="en-US"/>
        </w:rPr>
        <w:t>H</w:t>
      </w:r>
      <w:r w:rsidRPr="00810E6A">
        <w:t xml:space="preserve"> </w:t>
      </w:r>
      <w:r>
        <w:rPr>
          <w:lang w:val="en-US"/>
        </w:rPr>
        <w:t>EYKE</w:t>
      </w:r>
      <w:r w:rsidRPr="00810E6A">
        <w:t xml:space="preserve"> </w:t>
      </w:r>
      <w:r>
        <w:t>ΛΕΕΙ ΟΤΙ ΘΑ ΑΛΛΑΞΕΙ Ο ΓΑΚ ΣΤΟ ΣΗΜΕΙΟ ΑΥΤΟ</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554" w:rsidRDefault="009A0554">
      <w:pPr>
        <w:spacing w:after="0" w:line="240" w:lineRule="auto"/>
      </w:pPr>
      <w:r>
        <w:separator/>
      </w:r>
    </w:p>
  </w:endnote>
  <w:endnote w:type="continuationSeparator" w:id="0">
    <w:p w:rsidR="009A0554" w:rsidRDefault="009A0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EUAlbertina-Regu">
    <w:altName w:val="Times New Roman"/>
    <w:panose1 w:val="00000000000000000000"/>
    <w:charset w:val="A1"/>
    <w:family w:val="auto"/>
    <w:notTrueType/>
    <w:pitch w:val="default"/>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9" w:type="dxa"/>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4D7F17" w:rsidTr="00506DDE">
      <w:trPr>
        <w:trHeight w:val="1301"/>
      </w:trPr>
      <w:tc>
        <w:tcPr>
          <w:tcW w:w="2402" w:type="dxa"/>
          <w:shd w:val="clear" w:color="auto" w:fill="FFFFFF"/>
        </w:tcPr>
        <w:p w:rsidR="004D7F17" w:rsidRDefault="004D7F17">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77645C4D" wp14:editId="6035DAE6">
                <wp:extent cx="676275" cy="42862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4D7F17" w:rsidRPr="00B55C10"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4D7F17"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Ταμείο Συνοχής</w:t>
          </w:r>
        </w:p>
      </w:tc>
      <w:tc>
        <w:tcPr>
          <w:tcW w:w="2054"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481"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622" w:type="dxa"/>
          <w:shd w:val="clear" w:color="auto" w:fill="FFFFFF"/>
        </w:tcPr>
        <w:p w:rsidR="004D7F17" w:rsidRDefault="004D7F17">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0D1B9D2C" wp14:editId="77695EDF">
                <wp:extent cx="990600" cy="5905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r w:rsidR="004D7F17" w:rsidTr="001327C7">
      <w:trPr>
        <w:trHeight w:val="392"/>
      </w:trPr>
      <w:tc>
        <w:tcPr>
          <w:tcW w:w="9559" w:type="dxa"/>
          <w:gridSpan w:val="4"/>
          <w:shd w:val="clear" w:color="auto" w:fill="FFFFFF"/>
          <w:vAlign w:val="center"/>
        </w:tcPr>
        <w:p w:rsidR="004D7F17" w:rsidRPr="00506DDE" w:rsidRDefault="004D7F17" w:rsidP="00F25B58">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Σελίδα </w:t>
          </w:r>
          <w:r w:rsidR="0045136E">
            <w:rPr>
              <w:rFonts w:cs="Tahoma"/>
              <w:bCs/>
              <w:color w:val="000000"/>
              <w:sz w:val="16"/>
              <w:szCs w:val="16"/>
            </w:rPr>
            <w:fldChar w:fldCharType="begin"/>
          </w:r>
          <w:r>
            <w:rPr>
              <w:rFonts w:cs="Tahoma"/>
              <w:bCs/>
              <w:color w:val="000000"/>
              <w:sz w:val="16"/>
              <w:szCs w:val="16"/>
            </w:rPr>
            <w:instrText xml:space="preserve"> PAGE  \* Arabic  \* MERGEFORMAT </w:instrText>
          </w:r>
          <w:r w:rsidR="0045136E">
            <w:rPr>
              <w:rFonts w:cs="Tahoma"/>
              <w:bCs/>
              <w:color w:val="000000"/>
              <w:sz w:val="16"/>
              <w:szCs w:val="16"/>
            </w:rPr>
            <w:fldChar w:fldCharType="separate"/>
          </w:r>
          <w:r w:rsidR="00810E6A">
            <w:rPr>
              <w:rFonts w:cs="Tahoma"/>
              <w:bCs/>
              <w:noProof/>
              <w:color w:val="000000"/>
              <w:sz w:val="16"/>
              <w:szCs w:val="16"/>
            </w:rPr>
            <w:t>1</w:t>
          </w:r>
          <w:r w:rsidR="0045136E">
            <w:rPr>
              <w:rFonts w:cs="Tahoma"/>
              <w:bCs/>
              <w:color w:val="000000"/>
              <w:sz w:val="16"/>
              <w:szCs w:val="16"/>
            </w:rPr>
            <w:fldChar w:fldCharType="end"/>
          </w:r>
        </w:p>
      </w:tc>
    </w:tr>
  </w:tbl>
  <w:p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554" w:rsidRDefault="009A0554">
      <w:pPr>
        <w:spacing w:after="0" w:line="240" w:lineRule="auto"/>
      </w:pPr>
      <w:r>
        <w:separator/>
      </w:r>
    </w:p>
  </w:footnote>
  <w:footnote w:type="continuationSeparator" w:id="0">
    <w:p w:rsidR="009A0554" w:rsidRDefault="009A0554">
      <w:pPr>
        <w:spacing w:after="0" w:line="240" w:lineRule="auto"/>
      </w:pPr>
      <w:r>
        <w:continuationSeparator/>
      </w:r>
    </w:p>
  </w:footnote>
  <w:footnote w:id="1">
    <w:p w:rsidR="00D02341" w:rsidRPr="00810E6A" w:rsidRDefault="00D02341" w:rsidP="00D02341">
      <w:pPr>
        <w:autoSpaceDE w:val="0"/>
        <w:autoSpaceDN w:val="0"/>
        <w:adjustRightInd w:val="0"/>
        <w:spacing w:after="0" w:line="240" w:lineRule="auto"/>
        <w:rPr>
          <w:highlight w:val="green"/>
        </w:rPr>
      </w:pPr>
      <w:r w:rsidRPr="00810E6A">
        <w:rPr>
          <w:rStyle w:val="ae"/>
          <w:highlight w:val="green"/>
        </w:rPr>
        <w:footnoteRef/>
      </w:r>
      <w:r w:rsidRPr="00810E6A">
        <w:rPr>
          <w:highlight w:val="green"/>
        </w:rPr>
        <w:t xml:space="preserve"> </w:t>
      </w:r>
      <w:r w:rsidRPr="00810E6A">
        <w:rPr>
          <w:rFonts w:ascii="EUAlbertina-Regu" w:hAnsi="EUAlbertina-Regu" w:cs="EUAlbertina-Regu"/>
          <w:sz w:val="19"/>
          <w:szCs w:val="19"/>
          <w:highlight w:val="green"/>
        </w:rPr>
        <w:t xml:space="preserve">Προκειμένου να εξασφαλιστεί ότι οι ενισχύσεις είναι αναγκαίες και ότι λειτουργούν ως κίνητρο για την περαιτέρω ανάπτυξη δραστηριοτήτων ή έργων, ο κανονισμός </w:t>
      </w:r>
      <w:r w:rsidR="008E6CEE" w:rsidRPr="00810E6A">
        <w:rPr>
          <w:rFonts w:ascii="EUAlbertina-Regu" w:hAnsi="EUAlbertina-Regu" w:cs="EUAlbertina-Regu"/>
          <w:sz w:val="19"/>
          <w:szCs w:val="19"/>
          <w:highlight w:val="green"/>
        </w:rPr>
        <w:t xml:space="preserve">651/2014 </w:t>
      </w:r>
      <w:r w:rsidRPr="00810E6A">
        <w:rPr>
          <w:rFonts w:ascii="EUAlbertina-Regu" w:hAnsi="EUAlbertina-Regu" w:cs="EUAlbertina-Regu"/>
          <w:sz w:val="19"/>
          <w:szCs w:val="19"/>
          <w:highlight w:val="green"/>
        </w:rPr>
        <w:t xml:space="preserve">δεν θα πρέπει να εφαρμόζεται σε ενισχύσεις για δραστηριότητες τις οποίες θα ανέπτυσσε ούτως ή άλλως ο δικαιούχος, ακόμη και αν δεν είχε χορηγηθεί η ενίσχυση. Είναι σκόπιμο οι ενισχύσεις να απαλλάσσονται από την υποχρέωση κοινοποίησης δυνάμει του κανονισμού </w:t>
      </w:r>
      <w:r w:rsidR="008E6CEE" w:rsidRPr="00810E6A">
        <w:rPr>
          <w:rFonts w:ascii="EUAlbertina-Regu" w:hAnsi="EUAlbertina-Regu" w:cs="EUAlbertina-Regu"/>
          <w:sz w:val="19"/>
          <w:szCs w:val="19"/>
          <w:highlight w:val="green"/>
        </w:rPr>
        <w:t xml:space="preserve">651/2014 </w:t>
      </w:r>
      <w:r w:rsidRPr="00810E6A">
        <w:rPr>
          <w:rFonts w:ascii="EUAlbertina-Regu" w:hAnsi="EUAlbertina-Regu" w:cs="EUAlbertina-Regu"/>
          <w:sz w:val="19"/>
          <w:szCs w:val="19"/>
          <w:highlight w:val="green"/>
        </w:rPr>
        <w:t>μόνον εάν οι εργασίες για</w:t>
      </w:r>
      <w:r>
        <w:rPr>
          <w:rFonts w:ascii="EUAlbertina-Regu" w:hAnsi="EUAlbertina-Regu" w:cs="EUAlbertina-Regu"/>
          <w:sz w:val="19"/>
          <w:szCs w:val="19"/>
        </w:rPr>
        <w:t xml:space="preserve"> </w:t>
      </w:r>
      <w:r w:rsidRPr="00810E6A">
        <w:rPr>
          <w:rFonts w:ascii="EUAlbertina-Regu" w:hAnsi="EUAlbertina-Regu" w:cs="EUAlbertina-Regu"/>
          <w:sz w:val="19"/>
          <w:szCs w:val="19"/>
          <w:highlight w:val="green"/>
        </w:rPr>
        <w:t>το ενισχυόμενο έργο ή την ενισχυόμενη δραστηριότητα αρχίζουν μετά την υποβολή γραπτής αίτησης για ενίσχυση από τον δικαιούχο.</w:t>
      </w:r>
    </w:p>
  </w:footnote>
  <w:footnote w:id="2">
    <w:p w:rsidR="00272CF0" w:rsidRPr="008E6CEE" w:rsidRDefault="00272CF0" w:rsidP="00272CF0">
      <w:pPr>
        <w:autoSpaceDE w:val="0"/>
        <w:autoSpaceDN w:val="0"/>
        <w:adjustRightInd w:val="0"/>
        <w:spacing w:after="0" w:line="240" w:lineRule="auto"/>
      </w:pPr>
      <w:r w:rsidRPr="00810E6A">
        <w:rPr>
          <w:rStyle w:val="ae"/>
          <w:highlight w:val="green"/>
        </w:rPr>
        <w:footnoteRef/>
      </w:r>
      <w:r w:rsidRPr="00810E6A">
        <w:rPr>
          <w:highlight w:val="green"/>
        </w:rPr>
        <w:t xml:space="preserve"> </w:t>
      </w:r>
      <w:r w:rsidRPr="00810E6A">
        <w:rPr>
          <w:rFonts w:ascii="EUAlbertina-Regu" w:hAnsi="EUAlbertina-Regu" w:cs="EUAlbertina-Regu"/>
          <w:sz w:val="19"/>
          <w:szCs w:val="19"/>
          <w:highlight w:val="green"/>
        </w:rPr>
        <w:t>«έναρξη των εργασιών»: το πρώτο χρονικά μεταξύ είτε της έναρξης των κατασκευαστικών εργασιών που αφορούν την επένδυση είτε της πρώτης νομικά δεσμευτικής ανάληψης υποχρέωσης για την παραγγελία εξοπλισμού είτε άλλης ανάληψης υποχρέωσης που καθιστά μη αναστρέψιμη την επένδυση. Η αγορά γης και οι προπαρασκευαστικές εργασίες, όπως η λήψη αδειών και η εκπόνηση μελετών σκοπιμότητας, δεν θεωρούνται έναρξη των εργασιών. Για τις εξαγορές, ως «έναρξη των εργασιών» νοείται η στιγμή απόκτησης των στοιχείων ενεργητικού που συνδέονται άμεσα με την αποκτηθείσα εγκατάσταση·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17" w:rsidRDefault="004D7F17">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1837"/>
    <w:multiLevelType w:val="hybridMultilevel"/>
    <w:tmpl w:val="2312C8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37B0AB8"/>
    <w:multiLevelType w:val="hybridMultilevel"/>
    <w:tmpl w:val="B06CC218"/>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1B4D18B9"/>
    <w:multiLevelType w:val="hybridMultilevel"/>
    <w:tmpl w:val="009A5980"/>
    <w:lvl w:ilvl="0" w:tplc="C408DBE2">
      <w:start w:val="1"/>
      <w:numFmt w:val="lowerRoman"/>
      <w:lvlText w:val="%1)"/>
      <w:lvlJc w:val="left"/>
      <w:pPr>
        <w:ind w:left="1429" w:hanging="72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
    <w:nsid w:val="1C313861"/>
    <w:multiLevelType w:val="hybridMultilevel"/>
    <w:tmpl w:val="1F405C2E"/>
    <w:lvl w:ilvl="0" w:tplc="9C04AAE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268353E"/>
    <w:multiLevelType w:val="hybridMultilevel"/>
    <w:tmpl w:val="AB5C95E4"/>
    <w:lvl w:ilvl="0" w:tplc="A6C0A6E8">
      <w:start w:val="1"/>
      <w:numFmt w:val="lowerRoman"/>
      <w:lvlText w:val="%1)"/>
      <w:lvlJc w:val="left"/>
      <w:pPr>
        <w:ind w:left="1429" w:hanging="72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5">
    <w:nsid w:val="26A3707F"/>
    <w:multiLevelType w:val="hybridMultilevel"/>
    <w:tmpl w:val="272C0520"/>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2ADF6FB2"/>
    <w:multiLevelType w:val="hybridMultilevel"/>
    <w:tmpl w:val="475CF204"/>
    <w:lvl w:ilvl="0" w:tplc="08090019">
      <w:start w:val="1"/>
      <w:numFmt w:val="lowerLetter"/>
      <w:lvlText w:val="%1."/>
      <w:lvlJc w:val="left"/>
      <w:pPr>
        <w:ind w:left="720" w:hanging="360"/>
      </w:pPr>
    </w:lvl>
    <w:lvl w:ilvl="1" w:tplc="4A3C6882">
      <w:start w:val="1"/>
      <w:numFmt w:val="lowerRoman"/>
      <w:lvlText w:val="(%2)"/>
      <w:lvlJc w:val="left"/>
      <w:pPr>
        <w:ind w:left="1800" w:hanging="72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2D5E2757"/>
    <w:multiLevelType w:val="hybridMultilevel"/>
    <w:tmpl w:val="E58600C0"/>
    <w:lvl w:ilvl="0" w:tplc="4CEC4BAA">
      <w:start w:val="1"/>
      <w:numFmt w:val="lowerRoman"/>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nsid w:val="30420C27"/>
    <w:multiLevelType w:val="hybridMultilevel"/>
    <w:tmpl w:val="E554719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9">
    <w:nsid w:val="31EB5269"/>
    <w:multiLevelType w:val="hybridMultilevel"/>
    <w:tmpl w:val="473EA3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C3D3A77"/>
    <w:multiLevelType w:val="hybridMultilevel"/>
    <w:tmpl w:val="3404DE20"/>
    <w:lvl w:ilvl="0" w:tplc="9C04AAEE">
      <w:numFmt w:val="bullet"/>
      <w:lvlText w:val="-"/>
      <w:lvlJc w:val="left"/>
      <w:pPr>
        <w:ind w:left="1440" w:hanging="360"/>
      </w:pPr>
      <w:rPr>
        <w:rFonts w:ascii="Times New Roman" w:eastAsia="Times New Roman" w:hAnsi="Times New Roman"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3E2E25A4"/>
    <w:multiLevelType w:val="hybridMultilevel"/>
    <w:tmpl w:val="5A18B38E"/>
    <w:lvl w:ilvl="0" w:tplc="A6C0A6E8">
      <w:start w:val="1"/>
      <w:numFmt w:val="lowerRoman"/>
      <w:lvlText w:val="%1)"/>
      <w:lvlJc w:val="left"/>
      <w:pPr>
        <w:ind w:left="1429"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1EC384D"/>
    <w:multiLevelType w:val="hybridMultilevel"/>
    <w:tmpl w:val="EECEF3D0"/>
    <w:lvl w:ilvl="0" w:tplc="AA3C421E">
      <w:start w:val="1"/>
      <w:numFmt w:val="lowerRoman"/>
      <w:lvlText w:val="%1)"/>
      <w:lvlJc w:val="left"/>
      <w:pPr>
        <w:ind w:left="1429" w:hanging="72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13">
    <w:nsid w:val="46F43394"/>
    <w:multiLevelType w:val="hybridMultilevel"/>
    <w:tmpl w:val="C09EF5F4"/>
    <w:lvl w:ilvl="0" w:tplc="08090019">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nsid w:val="4D126A41"/>
    <w:multiLevelType w:val="hybridMultilevel"/>
    <w:tmpl w:val="4148F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51F27066"/>
    <w:multiLevelType w:val="hybridMultilevel"/>
    <w:tmpl w:val="9B80164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5D083B05"/>
    <w:multiLevelType w:val="hybridMultilevel"/>
    <w:tmpl w:val="D3CCEE64"/>
    <w:lvl w:ilvl="0" w:tplc="0ECCE3F2">
      <w:start w:val="1"/>
      <w:numFmt w:val="bullet"/>
      <w:lvlText w:val="-"/>
      <w:lvlJc w:val="left"/>
      <w:pPr>
        <w:tabs>
          <w:tab w:val="num" w:pos="720"/>
        </w:tabs>
        <w:ind w:left="720" w:hanging="360"/>
      </w:pPr>
      <w:rPr>
        <w:rFonts w:ascii="Courier New" w:hAnsi="Courier Ne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7">
    <w:nsid w:val="5E8265D1"/>
    <w:multiLevelType w:val="hybridMultilevel"/>
    <w:tmpl w:val="BFCEB45A"/>
    <w:lvl w:ilvl="0" w:tplc="9C04AAEE">
      <w:numFmt w:val="bullet"/>
      <w:lvlText w:val="-"/>
      <w:lvlJc w:val="left"/>
      <w:pPr>
        <w:ind w:left="1429" w:hanging="360"/>
      </w:pPr>
      <w:rPr>
        <w:rFonts w:ascii="Times New Roman" w:eastAsia="Times New Roman" w:hAnsi="Times New Roman" w:cs="Times New Roman"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8">
    <w:nsid w:val="63B569EC"/>
    <w:multiLevelType w:val="hybridMultilevel"/>
    <w:tmpl w:val="68E2FD24"/>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649045F1"/>
    <w:multiLevelType w:val="hybridMultilevel"/>
    <w:tmpl w:val="C89A68C0"/>
    <w:lvl w:ilvl="0" w:tplc="0ECCE3F2">
      <w:start w:val="1"/>
      <w:numFmt w:val="bullet"/>
      <w:lvlText w:val="-"/>
      <w:lvlJc w:val="left"/>
      <w:pPr>
        <w:tabs>
          <w:tab w:val="num" w:pos="720"/>
        </w:tabs>
        <w:ind w:left="720" w:hanging="360"/>
      </w:pPr>
      <w:rPr>
        <w:rFonts w:ascii="Courier New" w:hAnsi="Courier Ne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0">
    <w:nsid w:val="650842CC"/>
    <w:multiLevelType w:val="hybridMultilevel"/>
    <w:tmpl w:val="0AC6C4D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652E53CB"/>
    <w:multiLevelType w:val="hybridMultilevel"/>
    <w:tmpl w:val="B55C3304"/>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nsid w:val="670877E0"/>
    <w:multiLevelType w:val="hybridMultilevel"/>
    <w:tmpl w:val="28C0D590"/>
    <w:lvl w:ilvl="0" w:tplc="4CEC4BAA">
      <w:start w:val="1"/>
      <w:numFmt w:val="lowerRoman"/>
      <w:lvlText w:val="%1)"/>
      <w:lvlJc w:val="left"/>
      <w:pPr>
        <w:ind w:left="1571" w:hanging="720"/>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23">
    <w:nsid w:val="679A5C14"/>
    <w:multiLevelType w:val="hybridMultilevel"/>
    <w:tmpl w:val="06DC83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B3220B7"/>
    <w:multiLevelType w:val="hybridMultilevel"/>
    <w:tmpl w:val="8E46B87C"/>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nsid w:val="70972865"/>
    <w:multiLevelType w:val="hybridMultilevel"/>
    <w:tmpl w:val="EE2EEF2E"/>
    <w:lvl w:ilvl="0" w:tplc="9C04AAEE">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nsid w:val="7E2D5467"/>
    <w:multiLevelType w:val="hybridMultilevel"/>
    <w:tmpl w:val="FBD2574C"/>
    <w:lvl w:ilvl="0" w:tplc="9C04AAE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F2514F1"/>
    <w:multiLevelType w:val="hybridMultilevel"/>
    <w:tmpl w:val="362A76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6"/>
  </w:num>
  <w:num w:numId="2">
    <w:abstractNumId w:val="20"/>
  </w:num>
  <w:num w:numId="3">
    <w:abstractNumId w:val="0"/>
  </w:num>
  <w:num w:numId="4">
    <w:abstractNumId w:val="13"/>
    <w:lvlOverride w:ilvl="0">
      <w:startOverride w:val="1"/>
    </w:lvlOverride>
    <w:lvlOverride w:ilvl="1"/>
    <w:lvlOverride w:ilvl="2"/>
    <w:lvlOverride w:ilvl="3"/>
    <w:lvlOverride w:ilvl="4"/>
    <w:lvlOverride w:ilvl="5"/>
    <w:lvlOverride w:ilvl="6"/>
    <w:lvlOverride w:ilvl="7"/>
    <w:lvlOverride w:ilvl="8"/>
  </w:num>
  <w:num w:numId="5">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5"/>
  </w:num>
  <w:num w:numId="7">
    <w:abstractNumId w:val="27"/>
  </w:num>
  <w:num w:numId="8">
    <w:abstractNumId w:val="8"/>
  </w:num>
  <w:num w:numId="9">
    <w:abstractNumId w:val="19"/>
  </w:num>
  <w:num w:numId="10">
    <w:abstractNumId w:val="18"/>
  </w:num>
  <w:num w:numId="11">
    <w:abstractNumId w:val="16"/>
  </w:num>
  <w:num w:numId="12">
    <w:abstractNumId w:val="1"/>
  </w:num>
  <w:num w:numId="13">
    <w:abstractNumId w:val="24"/>
  </w:num>
  <w:num w:numId="14">
    <w:abstractNumId w:val="21"/>
  </w:num>
  <w:num w:numId="15">
    <w:abstractNumId w:val="14"/>
  </w:num>
  <w:num w:numId="16">
    <w:abstractNumId w:val="10"/>
  </w:num>
  <w:num w:numId="17">
    <w:abstractNumId w:val="15"/>
  </w:num>
  <w:num w:numId="18">
    <w:abstractNumId w:val="25"/>
  </w:num>
  <w:num w:numId="19">
    <w:abstractNumId w:val="9"/>
  </w:num>
  <w:num w:numId="20">
    <w:abstractNumId w:val="23"/>
  </w:num>
  <w:num w:numId="21">
    <w:abstractNumId w:val="22"/>
  </w:num>
  <w:num w:numId="22">
    <w:abstractNumId w:val="7"/>
  </w:num>
  <w:num w:numId="23">
    <w:abstractNumId w:val="2"/>
  </w:num>
  <w:num w:numId="24">
    <w:abstractNumId w:val="12"/>
  </w:num>
  <w:num w:numId="25">
    <w:abstractNumId w:val="4"/>
  </w:num>
  <w:num w:numId="26">
    <w:abstractNumId w:val="17"/>
  </w:num>
  <w:num w:numId="27">
    <w:abstractNumId w:val="11"/>
  </w:num>
  <w:num w:numId="28">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788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2"/>
  </w:compat>
  <w:rsids>
    <w:rsidRoot w:val="0039144A"/>
    <w:rsid w:val="00002496"/>
    <w:rsid w:val="00002E0B"/>
    <w:rsid w:val="00003E17"/>
    <w:rsid w:val="00005840"/>
    <w:rsid w:val="00005854"/>
    <w:rsid w:val="00010F2A"/>
    <w:rsid w:val="000114B8"/>
    <w:rsid w:val="00011F1A"/>
    <w:rsid w:val="000129D1"/>
    <w:rsid w:val="00012C5B"/>
    <w:rsid w:val="00013D9E"/>
    <w:rsid w:val="00015F72"/>
    <w:rsid w:val="0002140B"/>
    <w:rsid w:val="00022720"/>
    <w:rsid w:val="00022DD3"/>
    <w:rsid w:val="00022E59"/>
    <w:rsid w:val="000251AD"/>
    <w:rsid w:val="000259E6"/>
    <w:rsid w:val="00025B97"/>
    <w:rsid w:val="000329D2"/>
    <w:rsid w:val="000339A7"/>
    <w:rsid w:val="00033B9A"/>
    <w:rsid w:val="00034B04"/>
    <w:rsid w:val="000356C6"/>
    <w:rsid w:val="00036460"/>
    <w:rsid w:val="00037106"/>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72C8A"/>
    <w:rsid w:val="00075F4B"/>
    <w:rsid w:val="0008194B"/>
    <w:rsid w:val="00083A7A"/>
    <w:rsid w:val="000852EF"/>
    <w:rsid w:val="00091A33"/>
    <w:rsid w:val="000960B7"/>
    <w:rsid w:val="0009739A"/>
    <w:rsid w:val="00097D31"/>
    <w:rsid w:val="00097E88"/>
    <w:rsid w:val="000A2066"/>
    <w:rsid w:val="000A634C"/>
    <w:rsid w:val="000A6797"/>
    <w:rsid w:val="000B0742"/>
    <w:rsid w:val="000B16FB"/>
    <w:rsid w:val="000B2F18"/>
    <w:rsid w:val="000B4DA8"/>
    <w:rsid w:val="000C30C2"/>
    <w:rsid w:val="000C3A43"/>
    <w:rsid w:val="000C7EC1"/>
    <w:rsid w:val="000D2A6C"/>
    <w:rsid w:val="000D733E"/>
    <w:rsid w:val="000E1054"/>
    <w:rsid w:val="000E1345"/>
    <w:rsid w:val="000E4E74"/>
    <w:rsid w:val="000E4F1F"/>
    <w:rsid w:val="000F077C"/>
    <w:rsid w:val="000F152C"/>
    <w:rsid w:val="000F29CC"/>
    <w:rsid w:val="000F2EA5"/>
    <w:rsid w:val="000F4F56"/>
    <w:rsid w:val="000F6D47"/>
    <w:rsid w:val="001008D4"/>
    <w:rsid w:val="00102308"/>
    <w:rsid w:val="001027FC"/>
    <w:rsid w:val="0010475F"/>
    <w:rsid w:val="00106BD2"/>
    <w:rsid w:val="00107903"/>
    <w:rsid w:val="00107D0E"/>
    <w:rsid w:val="00110541"/>
    <w:rsid w:val="00120074"/>
    <w:rsid w:val="001248BA"/>
    <w:rsid w:val="0013040E"/>
    <w:rsid w:val="00131CB4"/>
    <w:rsid w:val="0013267E"/>
    <w:rsid w:val="001327C7"/>
    <w:rsid w:val="00132A54"/>
    <w:rsid w:val="00134FE4"/>
    <w:rsid w:val="0013556D"/>
    <w:rsid w:val="00136DBA"/>
    <w:rsid w:val="00137B91"/>
    <w:rsid w:val="00137C8E"/>
    <w:rsid w:val="00140D66"/>
    <w:rsid w:val="00143DD0"/>
    <w:rsid w:val="00144445"/>
    <w:rsid w:val="00145D10"/>
    <w:rsid w:val="001469E7"/>
    <w:rsid w:val="00147C71"/>
    <w:rsid w:val="00151E31"/>
    <w:rsid w:val="00154ACE"/>
    <w:rsid w:val="00156783"/>
    <w:rsid w:val="00160740"/>
    <w:rsid w:val="00161921"/>
    <w:rsid w:val="001627EE"/>
    <w:rsid w:val="00162853"/>
    <w:rsid w:val="00164B36"/>
    <w:rsid w:val="00166D9C"/>
    <w:rsid w:val="00167259"/>
    <w:rsid w:val="0017086B"/>
    <w:rsid w:val="00174BF0"/>
    <w:rsid w:val="001763EC"/>
    <w:rsid w:val="00176673"/>
    <w:rsid w:val="00176873"/>
    <w:rsid w:val="0018034E"/>
    <w:rsid w:val="00181CF4"/>
    <w:rsid w:val="0018272D"/>
    <w:rsid w:val="001873F3"/>
    <w:rsid w:val="00187898"/>
    <w:rsid w:val="00191250"/>
    <w:rsid w:val="00191862"/>
    <w:rsid w:val="00192DF6"/>
    <w:rsid w:val="001937A9"/>
    <w:rsid w:val="00196058"/>
    <w:rsid w:val="00196821"/>
    <w:rsid w:val="001971BB"/>
    <w:rsid w:val="00197E48"/>
    <w:rsid w:val="001A3E22"/>
    <w:rsid w:val="001A69A4"/>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310"/>
    <w:rsid w:val="00200FB8"/>
    <w:rsid w:val="002017B3"/>
    <w:rsid w:val="00202823"/>
    <w:rsid w:val="00207727"/>
    <w:rsid w:val="002146C6"/>
    <w:rsid w:val="00217A17"/>
    <w:rsid w:val="002211DB"/>
    <w:rsid w:val="00221374"/>
    <w:rsid w:val="00222760"/>
    <w:rsid w:val="0022591C"/>
    <w:rsid w:val="00226A7A"/>
    <w:rsid w:val="00230D32"/>
    <w:rsid w:val="0024089C"/>
    <w:rsid w:val="002440EC"/>
    <w:rsid w:val="0024436C"/>
    <w:rsid w:val="00244F94"/>
    <w:rsid w:val="00250309"/>
    <w:rsid w:val="00251A36"/>
    <w:rsid w:val="00251B4A"/>
    <w:rsid w:val="0025398F"/>
    <w:rsid w:val="002549D2"/>
    <w:rsid w:val="00260EB8"/>
    <w:rsid w:val="002623E9"/>
    <w:rsid w:val="0026289F"/>
    <w:rsid w:val="00264E7F"/>
    <w:rsid w:val="00265B04"/>
    <w:rsid w:val="00266103"/>
    <w:rsid w:val="00272CF0"/>
    <w:rsid w:val="0027433A"/>
    <w:rsid w:val="00274E15"/>
    <w:rsid w:val="0028193E"/>
    <w:rsid w:val="002833FD"/>
    <w:rsid w:val="0028362D"/>
    <w:rsid w:val="00293A87"/>
    <w:rsid w:val="00293B80"/>
    <w:rsid w:val="00296BAA"/>
    <w:rsid w:val="00297463"/>
    <w:rsid w:val="002A0555"/>
    <w:rsid w:val="002A16DE"/>
    <w:rsid w:val="002A3C6C"/>
    <w:rsid w:val="002A7048"/>
    <w:rsid w:val="002A71E8"/>
    <w:rsid w:val="002B0D7F"/>
    <w:rsid w:val="002B2D8A"/>
    <w:rsid w:val="002B4CD0"/>
    <w:rsid w:val="002B693D"/>
    <w:rsid w:val="002C13C4"/>
    <w:rsid w:val="002C2256"/>
    <w:rsid w:val="002C35D1"/>
    <w:rsid w:val="002C3C72"/>
    <w:rsid w:val="002C4599"/>
    <w:rsid w:val="002C652A"/>
    <w:rsid w:val="002D0FCF"/>
    <w:rsid w:val="002D242C"/>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3028E4"/>
    <w:rsid w:val="00304775"/>
    <w:rsid w:val="00306CEE"/>
    <w:rsid w:val="00307A83"/>
    <w:rsid w:val="00310042"/>
    <w:rsid w:val="00313779"/>
    <w:rsid w:val="00313C5B"/>
    <w:rsid w:val="00315331"/>
    <w:rsid w:val="00315AC4"/>
    <w:rsid w:val="00315FF4"/>
    <w:rsid w:val="00316DDE"/>
    <w:rsid w:val="00320A2F"/>
    <w:rsid w:val="00320E77"/>
    <w:rsid w:val="0032133E"/>
    <w:rsid w:val="00323FDC"/>
    <w:rsid w:val="003247D0"/>
    <w:rsid w:val="0032655B"/>
    <w:rsid w:val="00331500"/>
    <w:rsid w:val="0033308D"/>
    <w:rsid w:val="0033455F"/>
    <w:rsid w:val="0033533B"/>
    <w:rsid w:val="00340B7D"/>
    <w:rsid w:val="003446EE"/>
    <w:rsid w:val="003463F2"/>
    <w:rsid w:val="003475F0"/>
    <w:rsid w:val="00351690"/>
    <w:rsid w:val="003549ED"/>
    <w:rsid w:val="00355A4B"/>
    <w:rsid w:val="00355E0B"/>
    <w:rsid w:val="00356EA9"/>
    <w:rsid w:val="0036148D"/>
    <w:rsid w:val="00361FB8"/>
    <w:rsid w:val="00363165"/>
    <w:rsid w:val="00364A6B"/>
    <w:rsid w:val="00364B9C"/>
    <w:rsid w:val="00365C30"/>
    <w:rsid w:val="003665F9"/>
    <w:rsid w:val="00371F8D"/>
    <w:rsid w:val="0037343D"/>
    <w:rsid w:val="00375929"/>
    <w:rsid w:val="00376955"/>
    <w:rsid w:val="0038014D"/>
    <w:rsid w:val="0038037D"/>
    <w:rsid w:val="00380678"/>
    <w:rsid w:val="00381DF5"/>
    <w:rsid w:val="003823B8"/>
    <w:rsid w:val="003826B0"/>
    <w:rsid w:val="00383A2C"/>
    <w:rsid w:val="003841A4"/>
    <w:rsid w:val="00385F45"/>
    <w:rsid w:val="003870C3"/>
    <w:rsid w:val="003902C3"/>
    <w:rsid w:val="0039144A"/>
    <w:rsid w:val="00392F59"/>
    <w:rsid w:val="0039439A"/>
    <w:rsid w:val="0039573C"/>
    <w:rsid w:val="003A1128"/>
    <w:rsid w:val="003A1898"/>
    <w:rsid w:val="003A472D"/>
    <w:rsid w:val="003A48FE"/>
    <w:rsid w:val="003A6519"/>
    <w:rsid w:val="003A6C3D"/>
    <w:rsid w:val="003A7660"/>
    <w:rsid w:val="003B2FD8"/>
    <w:rsid w:val="003B3632"/>
    <w:rsid w:val="003B4A2B"/>
    <w:rsid w:val="003B5DCA"/>
    <w:rsid w:val="003B5F68"/>
    <w:rsid w:val="003B74ED"/>
    <w:rsid w:val="003C0818"/>
    <w:rsid w:val="003C3191"/>
    <w:rsid w:val="003C5C37"/>
    <w:rsid w:val="003D01C9"/>
    <w:rsid w:val="003D1209"/>
    <w:rsid w:val="003D3431"/>
    <w:rsid w:val="003D467F"/>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5835"/>
    <w:rsid w:val="0041679E"/>
    <w:rsid w:val="00416DD6"/>
    <w:rsid w:val="0041739C"/>
    <w:rsid w:val="004175F8"/>
    <w:rsid w:val="00420D72"/>
    <w:rsid w:val="004210D2"/>
    <w:rsid w:val="00421D81"/>
    <w:rsid w:val="004226FF"/>
    <w:rsid w:val="0042290F"/>
    <w:rsid w:val="004240A9"/>
    <w:rsid w:val="00425646"/>
    <w:rsid w:val="00431B2E"/>
    <w:rsid w:val="00431F94"/>
    <w:rsid w:val="00432267"/>
    <w:rsid w:val="00433ACB"/>
    <w:rsid w:val="0043424A"/>
    <w:rsid w:val="00434B62"/>
    <w:rsid w:val="0043562E"/>
    <w:rsid w:val="00437663"/>
    <w:rsid w:val="00440FBA"/>
    <w:rsid w:val="004410F7"/>
    <w:rsid w:val="004461F0"/>
    <w:rsid w:val="0045136E"/>
    <w:rsid w:val="0045168A"/>
    <w:rsid w:val="004517C9"/>
    <w:rsid w:val="0045229B"/>
    <w:rsid w:val="0045305E"/>
    <w:rsid w:val="0045353D"/>
    <w:rsid w:val="00453BEC"/>
    <w:rsid w:val="00453D61"/>
    <w:rsid w:val="00454675"/>
    <w:rsid w:val="00455107"/>
    <w:rsid w:val="004555AD"/>
    <w:rsid w:val="004561E9"/>
    <w:rsid w:val="00465167"/>
    <w:rsid w:val="00465187"/>
    <w:rsid w:val="00465F42"/>
    <w:rsid w:val="00470CC1"/>
    <w:rsid w:val="00472189"/>
    <w:rsid w:val="00472F12"/>
    <w:rsid w:val="00473784"/>
    <w:rsid w:val="00473A17"/>
    <w:rsid w:val="004751C8"/>
    <w:rsid w:val="004767FF"/>
    <w:rsid w:val="004819F1"/>
    <w:rsid w:val="00481D2C"/>
    <w:rsid w:val="004831E6"/>
    <w:rsid w:val="00483529"/>
    <w:rsid w:val="0048522E"/>
    <w:rsid w:val="004902FB"/>
    <w:rsid w:val="004914E8"/>
    <w:rsid w:val="004949B3"/>
    <w:rsid w:val="0049603F"/>
    <w:rsid w:val="00496401"/>
    <w:rsid w:val="00496CFB"/>
    <w:rsid w:val="004A1A5D"/>
    <w:rsid w:val="004A3C44"/>
    <w:rsid w:val="004A40DC"/>
    <w:rsid w:val="004A448D"/>
    <w:rsid w:val="004B5BF7"/>
    <w:rsid w:val="004B630C"/>
    <w:rsid w:val="004C25AF"/>
    <w:rsid w:val="004C2E8E"/>
    <w:rsid w:val="004C2F4B"/>
    <w:rsid w:val="004D07F9"/>
    <w:rsid w:val="004D10E6"/>
    <w:rsid w:val="004D1B07"/>
    <w:rsid w:val="004D1C36"/>
    <w:rsid w:val="004D2E6A"/>
    <w:rsid w:val="004D3B49"/>
    <w:rsid w:val="004D491B"/>
    <w:rsid w:val="004D6D5F"/>
    <w:rsid w:val="004D7F17"/>
    <w:rsid w:val="004E222C"/>
    <w:rsid w:val="004E380A"/>
    <w:rsid w:val="004E7999"/>
    <w:rsid w:val="004F343E"/>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5F81"/>
    <w:rsid w:val="00527203"/>
    <w:rsid w:val="00532078"/>
    <w:rsid w:val="00533307"/>
    <w:rsid w:val="00533DF6"/>
    <w:rsid w:val="0053552C"/>
    <w:rsid w:val="00536741"/>
    <w:rsid w:val="005404E9"/>
    <w:rsid w:val="005421BC"/>
    <w:rsid w:val="005425E2"/>
    <w:rsid w:val="00543194"/>
    <w:rsid w:val="0054758B"/>
    <w:rsid w:val="00550147"/>
    <w:rsid w:val="005519E5"/>
    <w:rsid w:val="00551B3A"/>
    <w:rsid w:val="00552790"/>
    <w:rsid w:val="00552CA0"/>
    <w:rsid w:val="00553E8A"/>
    <w:rsid w:val="00556BA0"/>
    <w:rsid w:val="00557307"/>
    <w:rsid w:val="0056166B"/>
    <w:rsid w:val="00564840"/>
    <w:rsid w:val="005650D3"/>
    <w:rsid w:val="00567121"/>
    <w:rsid w:val="0057017B"/>
    <w:rsid w:val="005714D2"/>
    <w:rsid w:val="00571617"/>
    <w:rsid w:val="005717C2"/>
    <w:rsid w:val="005728C1"/>
    <w:rsid w:val="00576EB5"/>
    <w:rsid w:val="00582163"/>
    <w:rsid w:val="00584744"/>
    <w:rsid w:val="00586AC3"/>
    <w:rsid w:val="00590141"/>
    <w:rsid w:val="00593F29"/>
    <w:rsid w:val="00597195"/>
    <w:rsid w:val="005A6730"/>
    <w:rsid w:val="005A72D8"/>
    <w:rsid w:val="005B1A02"/>
    <w:rsid w:val="005B38BD"/>
    <w:rsid w:val="005B42CA"/>
    <w:rsid w:val="005B4DE6"/>
    <w:rsid w:val="005B55FB"/>
    <w:rsid w:val="005B7ECD"/>
    <w:rsid w:val="005C3876"/>
    <w:rsid w:val="005C5BAA"/>
    <w:rsid w:val="005D2C02"/>
    <w:rsid w:val="005D3242"/>
    <w:rsid w:val="005D442C"/>
    <w:rsid w:val="005D4A0F"/>
    <w:rsid w:val="005E0709"/>
    <w:rsid w:val="005E0C01"/>
    <w:rsid w:val="005E0CD6"/>
    <w:rsid w:val="005E45BC"/>
    <w:rsid w:val="005E6000"/>
    <w:rsid w:val="005E6F41"/>
    <w:rsid w:val="005F0016"/>
    <w:rsid w:val="005F0FA1"/>
    <w:rsid w:val="005F6E5C"/>
    <w:rsid w:val="005F6EAB"/>
    <w:rsid w:val="00604147"/>
    <w:rsid w:val="00607D63"/>
    <w:rsid w:val="006122D5"/>
    <w:rsid w:val="0061263B"/>
    <w:rsid w:val="006126EE"/>
    <w:rsid w:val="006128F0"/>
    <w:rsid w:val="00612F7B"/>
    <w:rsid w:val="00615580"/>
    <w:rsid w:val="006166C6"/>
    <w:rsid w:val="006168CA"/>
    <w:rsid w:val="006171C9"/>
    <w:rsid w:val="00620AA0"/>
    <w:rsid w:val="006265F5"/>
    <w:rsid w:val="00627B39"/>
    <w:rsid w:val="00630134"/>
    <w:rsid w:val="006326AC"/>
    <w:rsid w:val="00635447"/>
    <w:rsid w:val="00637C10"/>
    <w:rsid w:val="00637C61"/>
    <w:rsid w:val="00637CFD"/>
    <w:rsid w:val="00640E83"/>
    <w:rsid w:val="0064144C"/>
    <w:rsid w:val="00644B4F"/>
    <w:rsid w:val="00654D45"/>
    <w:rsid w:val="00656533"/>
    <w:rsid w:val="0065657C"/>
    <w:rsid w:val="0065728A"/>
    <w:rsid w:val="00657FCB"/>
    <w:rsid w:val="006600C7"/>
    <w:rsid w:val="006623EA"/>
    <w:rsid w:val="00662D60"/>
    <w:rsid w:val="006640D2"/>
    <w:rsid w:val="00664657"/>
    <w:rsid w:val="0066545A"/>
    <w:rsid w:val="00666A33"/>
    <w:rsid w:val="0066777D"/>
    <w:rsid w:val="00671450"/>
    <w:rsid w:val="00671CBE"/>
    <w:rsid w:val="00674132"/>
    <w:rsid w:val="006752FB"/>
    <w:rsid w:val="00676B70"/>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4B8F"/>
    <w:rsid w:val="006B7A41"/>
    <w:rsid w:val="006C04AD"/>
    <w:rsid w:val="006C30C6"/>
    <w:rsid w:val="006C3690"/>
    <w:rsid w:val="006C4880"/>
    <w:rsid w:val="006C71F6"/>
    <w:rsid w:val="006D2BF9"/>
    <w:rsid w:val="006D5628"/>
    <w:rsid w:val="006E1081"/>
    <w:rsid w:val="006E1469"/>
    <w:rsid w:val="006F1AE8"/>
    <w:rsid w:val="006F2145"/>
    <w:rsid w:val="006F257A"/>
    <w:rsid w:val="006F29B2"/>
    <w:rsid w:val="006F3DA2"/>
    <w:rsid w:val="006F4835"/>
    <w:rsid w:val="006F5ECC"/>
    <w:rsid w:val="00702FBF"/>
    <w:rsid w:val="007114AD"/>
    <w:rsid w:val="00712BCB"/>
    <w:rsid w:val="0071580A"/>
    <w:rsid w:val="007158E8"/>
    <w:rsid w:val="00716B77"/>
    <w:rsid w:val="007201D5"/>
    <w:rsid w:val="00720220"/>
    <w:rsid w:val="00721991"/>
    <w:rsid w:val="007244B1"/>
    <w:rsid w:val="00726E3C"/>
    <w:rsid w:val="007311DA"/>
    <w:rsid w:val="00731C59"/>
    <w:rsid w:val="00732053"/>
    <w:rsid w:val="00732883"/>
    <w:rsid w:val="0073499D"/>
    <w:rsid w:val="007433AF"/>
    <w:rsid w:val="00744B92"/>
    <w:rsid w:val="007472F9"/>
    <w:rsid w:val="0075038A"/>
    <w:rsid w:val="00750C1F"/>
    <w:rsid w:val="00750F92"/>
    <w:rsid w:val="007525F8"/>
    <w:rsid w:val="00752D4E"/>
    <w:rsid w:val="00753374"/>
    <w:rsid w:val="0075350E"/>
    <w:rsid w:val="0075576A"/>
    <w:rsid w:val="00761A9A"/>
    <w:rsid w:val="00761AAB"/>
    <w:rsid w:val="00764DEB"/>
    <w:rsid w:val="00772269"/>
    <w:rsid w:val="00772682"/>
    <w:rsid w:val="00772D25"/>
    <w:rsid w:val="0077336F"/>
    <w:rsid w:val="00773885"/>
    <w:rsid w:val="007750AF"/>
    <w:rsid w:val="00780D14"/>
    <w:rsid w:val="00782F36"/>
    <w:rsid w:val="00784ED5"/>
    <w:rsid w:val="0078602E"/>
    <w:rsid w:val="00790ED6"/>
    <w:rsid w:val="00791D55"/>
    <w:rsid w:val="00791FBA"/>
    <w:rsid w:val="007941C2"/>
    <w:rsid w:val="0079700B"/>
    <w:rsid w:val="007A00C6"/>
    <w:rsid w:val="007A061D"/>
    <w:rsid w:val="007A2F0A"/>
    <w:rsid w:val="007A3969"/>
    <w:rsid w:val="007A3F3F"/>
    <w:rsid w:val="007A54ED"/>
    <w:rsid w:val="007B2C24"/>
    <w:rsid w:val="007B3707"/>
    <w:rsid w:val="007B4BFC"/>
    <w:rsid w:val="007B610C"/>
    <w:rsid w:val="007B626E"/>
    <w:rsid w:val="007B6778"/>
    <w:rsid w:val="007C0015"/>
    <w:rsid w:val="007C5210"/>
    <w:rsid w:val="007C53DB"/>
    <w:rsid w:val="007D0C19"/>
    <w:rsid w:val="007D226F"/>
    <w:rsid w:val="007D402E"/>
    <w:rsid w:val="007D5472"/>
    <w:rsid w:val="007D7364"/>
    <w:rsid w:val="007D7D84"/>
    <w:rsid w:val="007E1460"/>
    <w:rsid w:val="007E2004"/>
    <w:rsid w:val="007E6B12"/>
    <w:rsid w:val="007E6B9E"/>
    <w:rsid w:val="007F2DB2"/>
    <w:rsid w:val="007F2FA3"/>
    <w:rsid w:val="007F44D5"/>
    <w:rsid w:val="0080095B"/>
    <w:rsid w:val="00804B53"/>
    <w:rsid w:val="00810E6A"/>
    <w:rsid w:val="0081137C"/>
    <w:rsid w:val="00811AAB"/>
    <w:rsid w:val="00816754"/>
    <w:rsid w:val="0082372C"/>
    <w:rsid w:val="00824A55"/>
    <w:rsid w:val="0082703E"/>
    <w:rsid w:val="008275C2"/>
    <w:rsid w:val="00827B0B"/>
    <w:rsid w:val="008338E8"/>
    <w:rsid w:val="00836165"/>
    <w:rsid w:val="00840866"/>
    <w:rsid w:val="00840E27"/>
    <w:rsid w:val="00844242"/>
    <w:rsid w:val="0084514B"/>
    <w:rsid w:val="008467F9"/>
    <w:rsid w:val="00851E24"/>
    <w:rsid w:val="008523EC"/>
    <w:rsid w:val="008563C0"/>
    <w:rsid w:val="00857650"/>
    <w:rsid w:val="00863FA0"/>
    <w:rsid w:val="008642E8"/>
    <w:rsid w:val="008653EF"/>
    <w:rsid w:val="008746E6"/>
    <w:rsid w:val="00875051"/>
    <w:rsid w:val="00877B9A"/>
    <w:rsid w:val="00880E0A"/>
    <w:rsid w:val="00881B62"/>
    <w:rsid w:val="00881D3E"/>
    <w:rsid w:val="00881F5F"/>
    <w:rsid w:val="008836BE"/>
    <w:rsid w:val="008845AF"/>
    <w:rsid w:val="00886547"/>
    <w:rsid w:val="00886D86"/>
    <w:rsid w:val="00891588"/>
    <w:rsid w:val="00893DC4"/>
    <w:rsid w:val="008976BD"/>
    <w:rsid w:val="008A5605"/>
    <w:rsid w:val="008A6B1C"/>
    <w:rsid w:val="008A73C9"/>
    <w:rsid w:val="008B0843"/>
    <w:rsid w:val="008B4E0C"/>
    <w:rsid w:val="008C4052"/>
    <w:rsid w:val="008C4B13"/>
    <w:rsid w:val="008C6EB9"/>
    <w:rsid w:val="008D028F"/>
    <w:rsid w:val="008D09B0"/>
    <w:rsid w:val="008D10E2"/>
    <w:rsid w:val="008D6113"/>
    <w:rsid w:val="008D7D1F"/>
    <w:rsid w:val="008E06CA"/>
    <w:rsid w:val="008E1C4C"/>
    <w:rsid w:val="008E2ACF"/>
    <w:rsid w:val="008E48DA"/>
    <w:rsid w:val="008E4F09"/>
    <w:rsid w:val="008E65F2"/>
    <w:rsid w:val="008E6CEE"/>
    <w:rsid w:val="008F0715"/>
    <w:rsid w:val="008F16AC"/>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3B65"/>
    <w:rsid w:val="009241E3"/>
    <w:rsid w:val="009258AC"/>
    <w:rsid w:val="00925BDD"/>
    <w:rsid w:val="00930104"/>
    <w:rsid w:val="0093305F"/>
    <w:rsid w:val="00933DC2"/>
    <w:rsid w:val="00934EA9"/>
    <w:rsid w:val="009375B4"/>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554"/>
    <w:rsid w:val="009A0DC6"/>
    <w:rsid w:val="009A43E6"/>
    <w:rsid w:val="009A45EF"/>
    <w:rsid w:val="009A69D1"/>
    <w:rsid w:val="009A6C3F"/>
    <w:rsid w:val="009A76D3"/>
    <w:rsid w:val="009B4498"/>
    <w:rsid w:val="009B5A29"/>
    <w:rsid w:val="009B5FF4"/>
    <w:rsid w:val="009B7143"/>
    <w:rsid w:val="009C200D"/>
    <w:rsid w:val="009C32F7"/>
    <w:rsid w:val="009C5490"/>
    <w:rsid w:val="009C5574"/>
    <w:rsid w:val="009C5AB6"/>
    <w:rsid w:val="009C7AF9"/>
    <w:rsid w:val="009D0F66"/>
    <w:rsid w:val="009D3824"/>
    <w:rsid w:val="009D6227"/>
    <w:rsid w:val="009D6D48"/>
    <w:rsid w:val="009E066C"/>
    <w:rsid w:val="009E086E"/>
    <w:rsid w:val="009E1E90"/>
    <w:rsid w:val="009E4E9C"/>
    <w:rsid w:val="009F0EAC"/>
    <w:rsid w:val="009F51D6"/>
    <w:rsid w:val="009F5541"/>
    <w:rsid w:val="009F5ED2"/>
    <w:rsid w:val="009F7C64"/>
    <w:rsid w:val="009F7CB0"/>
    <w:rsid w:val="00A01EB6"/>
    <w:rsid w:val="00A072A3"/>
    <w:rsid w:val="00A10891"/>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2658"/>
    <w:rsid w:val="00A5758B"/>
    <w:rsid w:val="00A60E98"/>
    <w:rsid w:val="00A7178B"/>
    <w:rsid w:val="00A7195F"/>
    <w:rsid w:val="00A74FD9"/>
    <w:rsid w:val="00A80661"/>
    <w:rsid w:val="00A81958"/>
    <w:rsid w:val="00A8394F"/>
    <w:rsid w:val="00A847A2"/>
    <w:rsid w:val="00A852A8"/>
    <w:rsid w:val="00A87109"/>
    <w:rsid w:val="00A8778E"/>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3C3"/>
    <w:rsid w:val="00AE19BE"/>
    <w:rsid w:val="00AE4B9E"/>
    <w:rsid w:val="00AE59F3"/>
    <w:rsid w:val="00AE6729"/>
    <w:rsid w:val="00AF4421"/>
    <w:rsid w:val="00AF64AE"/>
    <w:rsid w:val="00AF6E2E"/>
    <w:rsid w:val="00B00074"/>
    <w:rsid w:val="00B01889"/>
    <w:rsid w:val="00B01F5F"/>
    <w:rsid w:val="00B07F69"/>
    <w:rsid w:val="00B17FD6"/>
    <w:rsid w:val="00B2195D"/>
    <w:rsid w:val="00B231BD"/>
    <w:rsid w:val="00B264D8"/>
    <w:rsid w:val="00B3069C"/>
    <w:rsid w:val="00B32EA0"/>
    <w:rsid w:val="00B34A8A"/>
    <w:rsid w:val="00B366E9"/>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227D"/>
    <w:rsid w:val="00B7402C"/>
    <w:rsid w:val="00B754F1"/>
    <w:rsid w:val="00B80D55"/>
    <w:rsid w:val="00B81A85"/>
    <w:rsid w:val="00B83C61"/>
    <w:rsid w:val="00B8485F"/>
    <w:rsid w:val="00B86FDD"/>
    <w:rsid w:val="00B9218D"/>
    <w:rsid w:val="00B93B21"/>
    <w:rsid w:val="00B9485A"/>
    <w:rsid w:val="00B95A89"/>
    <w:rsid w:val="00BA2C74"/>
    <w:rsid w:val="00BA3D7E"/>
    <w:rsid w:val="00BA4203"/>
    <w:rsid w:val="00BA51A5"/>
    <w:rsid w:val="00BA5C58"/>
    <w:rsid w:val="00BB100B"/>
    <w:rsid w:val="00BB1459"/>
    <w:rsid w:val="00BB1E28"/>
    <w:rsid w:val="00BB201D"/>
    <w:rsid w:val="00BB3424"/>
    <w:rsid w:val="00BB6AA3"/>
    <w:rsid w:val="00BB6AD0"/>
    <w:rsid w:val="00BC0DA7"/>
    <w:rsid w:val="00BC1A4E"/>
    <w:rsid w:val="00BC1CA9"/>
    <w:rsid w:val="00BC2B32"/>
    <w:rsid w:val="00BC44B6"/>
    <w:rsid w:val="00BC53FF"/>
    <w:rsid w:val="00BD054A"/>
    <w:rsid w:val="00BD3733"/>
    <w:rsid w:val="00BD483D"/>
    <w:rsid w:val="00BD4B2E"/>
    <w:rsid w:val="00BE313E"/>
    <w:rsid w:val="00BE36F3"/>
    <w:rsid w:val="00BE4854"/>
    <w:rsid w:val="00BE49E6"/>
    <w:rsid w:val="00BF02D9"/>
    <w:rsid w:val="00BF03BB"/>
    <w:rsid w:val="00BF06F9"/>
    <w:rsid w:val="00BF1CF7"/>
    <w:rsid w:val="00BF318A"/>
    <w:rsid w:val="00BF3AF3"/>
    <w:rsid w:val="00BF46CC"/>
    <w:rsid w:val="00BF5C5F"/>
    <w:rsid w:val="00C024FF"/>
    <w:rsid w:val="00C02598"/>
    <w:rsid w:val="00C06212"/>
    <w:rsid w:val="00C12C98"/>
    <w:rsid w:val="00C12CA1"/>
    <w:rsid w:val="00C12D7E"/>
    <w:rsid w:val="00C14134"/>
    <w:rsid w:val="00C15C17"/>
    <w:rsid w:val="00C202F6"/>
    <w:rsid w:val="00C233D8"/>
    <w:rsid w:val="00C23922"/>
    <w:rsid w:val="00C23BE0"/>
    <w:rsid w:val="00C24268"/>
    <w:rsid w:val="00C254B4"/>
    <w:rsid w:val="00C330F1"/>
    <w:rsid w:val="00C33B40"/>
    <w:rsid w:val="00C34736"/>
    <w:rsid w:val="00C34DA4"/>
    <w:rsid w:val="00C36918"/>
    <w:rsid w:val="00C4397E"/>
    <w:rsid w:val="00C43FE3"/>
    <w:rsid w:val="00C440FA"/>
    <w:rsid w:val="00C467CD"/>
    <w:rsid w:val="00C500D2"/>
    <w:rsid w:val="00C52240"/>
    <w:rsid w:val="00C5295F"/>
    <w:rsid w:val="00C52AA1"/>
    <w:rsid w:val="00C55CF2"/>
    <w:rsid w:val="00C55E89"/>
    <w:rsid w:val="00C5692A"/>
    <w:rsid w:val="00C56991"/>
    <w:rsid w:val="00C62175"/>
    <w:rsid w:val="00C6440B"/>
    <w:rsid w:val="00C65D8B"/>
    <w:rsid w:val="00C6626B"/>
    <w:rsid w:val="00C6686F"/>
    <w:rsid w:val="00C6771C"/>
    <w:rsid w:val="00C70765"/>
    <w:rsid w:val="00C71D7A"/>
    <w:rsid w:val="00C725DC"/>
    <w:rsid w:val="00C72868"/>
    <w:rsid w:val="00C731EC"/>
    <w:rsid w:val="00C754FB"/>
    <w:rsid w:val="00C75C9E"/>
    <w:rsid w:val="00C77F94"/>
    <w:rsid w:val="00C77FBA"/>
    <w:rsid w:val="00C81C41"/>
    <w:rsid w:val="00C82273"/>
    <w:rsid w:val="00C82394"/>
    <w:rsid w:val="00C8389B"/>
    <w:rsid w:val="00C86659"/>
    <w:rsid w:val="00C86FEA"/>
    <w:rsid w:val="00C87F52"/>
    <w:rsid w:val="00C93E32"/>
    <w:rsid w:val="00CA2610"/>
    <w:rsid w:val="00CA39AE"/>
    <w:rsid w:val="00CA39D6"/>
    <w:rsid w:val="00CA48AB"/>
    <w:rsid w:val="00CA4B19"/>
    <w:rsid w:val="00CA63CC"/>
    <w:rsid w:val="00CA77E0"/>
    <w:rsid w:val="00CB10CC"/>
    <w:rsid w:val="00CB278F"/>
    <w:rsid w:val="00CB6E75"/>
    <w:rsid w:val="00CC07A9"/>
    <w:rsid w:val="00CC0C0E"/>
    <w:rsid w:val="00CC2FDC"/>
    <w:rsid w:val="00CC7266"/>
    <w:rsid w:val="00CC7419"/>
    <w:rsid w:val="00CD0633"/>
    <w:rsid w:val="00CD0FA9"/>
    <w:rsid w:val="00CD1B0E"/>
    <w:rsid w:val="00CD1FB2"/>
    <w:rsid w:val="00CD2A29"/>
    <w:rsid w:val="00CD3AC3"/>
    <w:rsid w:val="00CD448A"/>
    <w:rsid w:val="00CD4EBD"/>
    <w:rsid w:val="00CE186A"/>
    <w:rsid w:val="00CE1E7D"/>
    <w:rsid w:val="00CE26C9"/>
    <w:rsid w:val="00CE3810"/>
    <w:rsid w:val="00CE5CB9"/>
    <w:rsid w:val="00CE5DFD"/>
    <w:rsid w:val="00CF17A5"/>
    <w:rsid w:val="00CF19AF"/>
    <w:rsid w:val="00CF1DCD"/>
    <w:rsid w:val="00CF2ACA"/>
    <w:rsid w:val="00CF34E2"/>
    <w:rsid w:val="00CF354C"/>
    <w:rsid w:val="00CF3B7C"/>
    <w:rsid w:val="00D02341"/>
    <w:rsid w:val="00D0242C"/>
    <w:rsid w:val="00D028B4"/>
    <w:rsid w:val="00D040E5"/>
    <w:rsid w:val="00D06AE9"/>
    <w:rsid w:val="00D157BA"/>
    <w:rsid w:val="00D15C5C"/>
    <w:rsid w:val="00D15F58"/>
    <w:rsid w:val="00D170E1"/>
    <w:rsid w:val="00D17738"/>
    <w:rsid w:val="00D21A90"/>
    <w:rsid w:val="00D22685"/>
    <w:rsid w:val="00D26BFD"/>
    <w:rsid w:val="00D31329"/>
    <w:rsid w:val="00D34DD2"/>
    <w:rsid w:val="00D377CC"/>
    <w:rsid w:val="00D40657"/>
    <w:rsid w:val="00D4309B"/>
    <w:rsid w:val="00D45B26"/>
    <w:rsid w:val="00D46242"/>
    <w:rsid w:val="00D51AE5"/>
    <w:rsid w:val="00D52854"/>
    <w:rsid w:val="00D5329C"/>
    <w:rsid w:val="00D542EC"/>
    <w:rsid w:val="00D61344"/>
    <w:rsid w:val="00D647E4"/>
    <w:rsid w:val="00D65E20"/>
    <w:rsid w:val="00D66C1D"/>
    <w:rsid w:val="00D67FE1"/>
    <w:rsid w:val="00D71063"/>
    <w:rsid w:val="00D73288"/>
    <w:rsid w:val="00D75A9A"/>
    <w:rsid w:val="00D75C19"/>
    <w:rsid w:val="00D822C9"/>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FFF"/>
    <w:rsid w:val="00DB6DA3"/>
    <w:rsid w:val="00DC3AFA"/>
    <w:rsid w:val="00DC3D82"/>
    <w:rsid w:val="00DC4944"/>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2AC1"/>
    <w:rsid w:val="00E14946"/>
    <w:rsid w:val="00E15C1A"/>
    <w:rsid w:val="00E17661"/>
    <w:rsid w:val="00E21082"/>
    <w:rsid w:val="00E23048"/>
    <w:rsid w:val="00E24C56"/>
    <w:rsid w:val="00E267A9"/>
    <w:rsid w:val="00E30A11"/>
    <w:rsid w:val="00E319F3"/>
    <w:rsid w:val="00E3276C"/>
    <w:rsid w:val="00E33626"/>
    <w:rsid w:val="00E34984"/>
    <w:rsid w:val="00E42C5B"/>
    <w:rsid w:val="00E4300C"/>
    <w:rsid w:val="00E46238"/>
    <w:rsid w:val="00E46DC5"/>
    <w:rsid w:val="00E47A10"/>
    <w:rsid w:val="00E50C44"/>
    <w:rsid w:val="00E50E83"/>
    <w:rsid w:val="00E525A6"/>
    <w:rsid w:val="00E5356B"/>
    <w:rsid w:val="00E54D9C"/>
    <w:rsid w:val="00E566B8"/>
    <w:rsid w:val="00E602D7"/>
    <w:rsid w:val="00E60BDD"/>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2F4"/>
    <w:rsid w:val="00EA393F"/>
    <w:rsid w:val="00EA4643"/>
    <w:rsid w:val="00EA66A3"/>
    <w:rsid w:val="00EB218F"/>
    <w:rsid w:val="00EB7A97"/>
    <w:rsid w:val="00EB7BD7"/>
    <w:rsid w:val="00EC0C03"/>
    <w:rsid w:val="00EC1377"/>
    <w:rsid w:val="00EC16D4"/>
    <w:rsid w:val="00EC23CD"/>
    <w:rsid w:val="00EC3544"/>
    <w:rsid w:val="00EC6203"/>
    <w:rsid w:val="00EC654E"/>
    <w:rsid w:val="00EC67AB"/>
    <w:rsid w:val="00EC6897"/>
    <w:rsid w:val="00EC6D8F"/>
    <w:rsid w:val="00EC7CE5"/>
    <w:rsid w:val="00ED24A0"/>
    <w:rsid w:val="00ED3ACE"/>
    <w:rsid w:val="00ED50B1"/>
    <w:rsid w:val="00ED5329"/>
    <w:rsid w:val="00ED618A"/>
    <w:rsid w:val="00ED7C56"/>
    <w:rsid w:val="00EE004B"/>
    <w:rsid w:val="00EE3A87"/>
    <w:rsid w:val="00EE3B6F"/>
    <w:rsid w:val="00EE557B"/>
    <w:rsid w:val="00EE5AD8"/>
    <w:rsid w:val="00EE6121"/>
    <w:rsid w:val="00EE693F"/>
    <w:rsid w:val="00EE7830"/>
    <w:rsid w:val="00EF046E"/>
    <w:rsid w:val="00EF739F"/>
    <w:rsid w:val="00F001F1"/>
    <w:rsid w:val="00F00F1B"/>
    <w:rsid w:val="00F0173D"/>
    <w:rsid w:val="00F02502"/>
    <w:rsid w:val="00F027A8"/>
    <w:rsid w:val="00F04313"/>
    <w:rsid w:val="00F06051"/>
    <w:rsid w:val="00F10DD5"/>
    <w:rsid w:val="00F11127"/>
    <w:rsid w:val="00F11ADB"/>
    <w:rsid w:val="00F1447F"/>
    <w:rsid w:val="00F20B42"/>
    <w:rsid w:val="00F22E01"/>
    <w:rsid w:val="00F23A2F"/>
    <w:rsid w:val="00F25B58"/>
    <w:rsid w:val="00F32FCA"/>
    <w:rsid w:val="00F3575D"/>
    <w:rsid w:val="00F35C24"/>
    <w:rsid w:val="00F3619E"/>
    <w:rsid w:val="00F36890"/>
    <w:rsid w:val="00F42EFD"/>
    <w:rsid w:val="00F46980"/>
    <w:rsid w:val="00F5227B"/>
    <w:rsid w:val="00F53F26"/>
    <w:rsid w:val="00F57C6F"/>
    <w:rsid w:val="00F64144"/>
    <w:rsid w:val="00F657A4"/>
    <w:rsid w:val="00F66DAA"/>
    <w:rsid w:val="00F7164D"/>
    <w:rsid w:val="00F76940"/>
    <w:rsid w:val="00F76998"/>
    <w:rsid w:val="00F77DE3"/>
    <w:rsid w:val="00F77F48"/>
    <w:rsid w:val="00F81FC7"/>
    <w:rsid w:val="00F8273A"/>
    <w:rsid w:val="00F82BF9"/>
    <w:rsid w:val="00F85B30"/>
    <w:rsid w:val="00F86432"/>
    <w:rsid w:val="00F86BDF"/>
    <w:rsid w:val="00F91D36"/>
    <w:rsid w:val="00F93747"/>
    <w:rsid w:val="00F97E1C"/>
    <w:rsid w:val="00FA2263"/>
    <w:rsid w:val="00FA48E2"/>
    <w:rsid w:val="00FA5B7B"/>
    <w:rsid w:val="00FA6A93"/>
    <w:rsid w:val="00FA7C84"/>
    <w:rsid w:val="00FB0002"/>
    <w:rsid w:val="00FB5868"/>
    <w:rsid w:val="00FB6021"/>
    <w:rsid w:val="00FB67A8"/>
    <w:rsid w:val="00FB6FDA"/>
    <w:rsid w:val="00FC0DE2"/>
    <w:rsid w:val="00FC1EC2"/>
    <w:rsid w:val="00FC30A9"/>
    <w:rsid w:val="00FC3A06"/>
    <w:rsid w:val="00FC50BA"/>
    <w:rsid w:val="00FC5AEF"/>
    <w:rsid w:val="00FC739F"/>
    <w:rsid w:val="00FD3AC7"/>
    <w:rsid w:val="00FD3F10"/>
    <w:rsid w:val="00FD48DA"/>
    <w:rsid w:val="00FD5B76"/>
    <w:rsid w:val="00FD6A0C"/>
    <w:rsid w:val="00FD7B00"/>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34"/>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 w:type="paragraph" w:styleId="ad">
    <w:name w:val="footnote text"/>
    <w:basedOn w:val="a"/>
    <w:link w:val="Char4"/>
    <w:uiPriority w:val="99"/>
    <w:semiHidden/>
    <w:unhideWhenUsed/>
    <w:rsid w:val="00D02341"/>
    <w:pPr>
      <w:spacing w:after="0" w:line="240" w:lineRule="auto"/>
    </w:pPr>
    <w:rPr>
      <w:sz w:val="20"/>
      <w:szCs w:val="20"/>
    </w:rPr>
  </w:style>
  <w:style w:type="character" w:customStyle="1" w:styleId="Char4">
    <w:name w:val="Κείμενο υποσημείωσης Char"/>
    <w:basedOn w:val="a0"/>
    <w:link w:val="ad"/>
    <w:uiPriority w:val="99"/>
    <w:semiHidden/>
    <w:rsid w:val="00D02341"/>
    <w:rPr>
      <w:sz w:val="20"/>
      <w:szCs w:val="20"/>
    </w:rPr>
  </w:style>
  <w:style w:type="character" w:styleId="ae">
    <w:name w:val="footnote reference"/>
    <w:basedOn w:val="a0"/>
    <w:uiPriority w:val="99"/>
    <w:semiHidden/>
    <w:unhideWhenUsed/>
    <w:rsid w:val="00D0234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338116635">
      <w:bodyDiv w:val="1"/>
      <w:marLeft w:val="0"/>
      <w:marRight w:val="0"/>
      <w:marTop w:val="0"/>
      <w:marBottom w:val="0"/>
      <w:divBdr>
        <w:top w:val="none" w:sz="0" w:space="0" w:color="auto"/>
        <w:left w:val="none" w:sz="0" w:space="0" w:color="auto"/>
        <w:bottom w:val="none" w:sz="0" w:space="0" w:color="auto"/>
        <w:right w:val="none" w:sz="0" w:space="0" w:color="auto"/>
      </w:divBdr>
    </w:div>
    <w:div w:id="596716282">
      <w:bodyDiv w:val="1"/>
      <w:marLeft w:val="0"/>
      <w:marRight w:val="0"/>
      <w:marTop w:val="0"/>
      <w:marBottom w:val="0"/>
      <w:divBdr>
        <w:top w:val="none" w:sz="0" w:space="0" w:color="auto"/>
        <w:left w:val="none" w:sz="0" w:space="0" w:color="auto"/>
        <w:bottom w:val="none" w:sz="0" w:space="0" w:color="auto"/>
        <w:right w:val="none" w:sz="0" w:space="0" w:color="auto"/>
      </w:divBdr>
    </w:div>
    <w:div w:id="673920591">
      <w:bodyDiv w:val="1"/>
      <w:marLeft w:val="0"/>
      <w:marRight w:val="0"/>
      <w:marTop w:val="0"/>
      <w:marBottom w:val="0"/>
      <w:divBdr>
        <w:top w:val="none" w:sz="0" w:space="0" w:color="auto"/>
        <w:left w:val="none" w:sz="0" w:space="0" w:color="auto"/>
        <w:bottom w:val="none" w:sz="0" w:space="0" w:color="auto"/>
        <w:right w:val="none" w:sz="0" w:space="0" w:color="auto"/>
      </w:divBdr>
    </w:div>
    <w:div w:id="694114417">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 w:id="204998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63A12-3575-4FC5-B3AA-6AE45AF68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Pages>
  <Words>1905</Words>
  <Characters>11538</Characters>
  <Application>Microsoft Office Word</Application>
  <DocSecurity>0</DocSecurity>
  <Lines>96</Lines>
  <Paragraphs>26</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13417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Κολοκοτρώνη Κωνσταντίνα</dc:creator>
  <dc:description>Generated by Oracle BI Publisher 11.1.1.7.0</dc:description>
  <cp:lastModifiedBy>ΚΟΛΟΚΟΤΡΩΝΗ ΚΩΝΣΤΑΝΤΙΝΑ</cp:lastModifiedBy>
  <cp:revision>71</cp:revision>
  <cp:lastPrinted>2016-04-26T09:40:00Z</cp:lastPrinted>
  <dcterms:created xsi:type="dcterms:W3CDTF">2016-06-10T04:09:00Z</dcterms:created>
  <dcterms:modified xsi:type="dcterms:W3CDTF">2016-07-04T07:08:00Z</dcterms:modified>
</cp:coreProperties>
</file>